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047C" w14:textId="77777777" w:rsidR="00CD1CA5" w:rsidRDefault="00CD1CA5" w:rsidP="00CD1CA5">
      <w:r w:rsidRPr="008F297C">
        <w:rPr>
          <w:rFonts w:ascii="Arial" w:eastAsia="Times New Roman" w:hAnsi="Arial" w:cs="Times New Roman"/>
          <w:b/>
          <w:noProof/>
          <w:kern w:val="0"/>
          <w:sz w:val="24"/>
          <w:szCs w:val="24"/>
          <w:lang w:eastAsia="en-GB"/>
          <w14:ligatures w14:val="none"/>
        </w:rPr>
        <w:drawing>
          <wp:anchor distT="0" distB="0" distL="114300" distR="114300" simplePos="0" relativeHeight="251659264" behindDoc="1" locked="0" layoutInCell="1" allowOverlap="1" wp14:anchorId="504A0053" wp14:editId="41FB5262">
            <wp:simplePos x="0" y="0"/>
            <wp:positionH relativeFrom="column">
              <wp:posOffset>4571497</wp:posOffset>
            </wp:positionH>
            <wp:positionV relativeFrom="paragraph">
              <wp:posOffset>284</wp:posOffset>
            </wp:positionV>
            <wp:extent cx="2009775" cy="495300"/>
            <wp:effectExtent l="0" t="0" r="9525" b="0"/>
            <wp:wrapTight wrapText="bothSides">
              <wp:wrapPolygon edited="0">
                <wp:start x="0" y="0"/>
                <wp:lineTo x="0" y="20769"/>
                <wp:lineTo x="21498" y="20769"/>
                <wp:lineTo x="21498" y="0"/>
                <wp:lineTo x="0" y="0"/>
              </wp:wrapPolygon>
            </wp:wrapTight>
            <wp:docPr id="1242313361" name="Picture 1" descr="A pin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13361" name="Picture 1" descr="A pink rectangl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EDBB1" w14:textId="77777777" w:rsidR="00CD1CA5" w:rsidRPr="004052CA" w:rsidRDefault="00CD1CA5" w:rsidP="00CD1CA5"/>
    <w:tbl>
      <w:tblPr>
        <w:tblStyle w:val="TableGrid"/>
        <w:tblpPr w:leftFromText="180" w:rightFromText="180" w:vertAnchor="text" w:horzAnchor="margin" w:tblpY="137"/>
        <w:tblW w:w="10768" w:type="dxa"/>
        <w:tblLook w:val="04A0" w:firstRow="1" w:lastRow="0" w:firstColumn="1" w:lastColumn="0" w:noHBand="0" w:noVBand="1"/>
      </w:tblPr>
      <w:tblGrid>
        <w:gridCol w:w="2405"/>
        <w:gridCol w:w="8363"/>
      </w:tblGrid>
      <w:tr w:rsidR="00CD1CA5" w:rsidRPr="007A16CB" w14:paraId="4D53EE91" w14:textId="77777777" w:rsidTr="005B65E5">
        <w:trPr>
          <w:trHeight w:val="409"/>
        </w:trPr>
        <w:tc>
          <w:tcPr>
            <w:tcW w:w="2405" w:type="dxa"/>
          </w:tcPr>
          <w:p w14:paraId="692EFC8D"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Name of school:</w:t>
            </w:r>
          </w:p>
        </w:tc>
        <w:tc>
          <w:tcPr>
            <w:tcW w:w="8363" w:type="dxa"/>
          </w:tcPr>
          <w:p w14:paraId="4A9B929A" w14:textId="3C3FEB5E" w:rsidR="00CD1CA5" w:rsidRPr="007A16CB" w:rsidRDefault="00923203" w:rsidP="005B65E5">
            <w:pPr>
              <w:spacing w:after="240"/>
              <w:jc w:val="center"/>
              <w:rPr>
                <w:rFonts w:ascii="Arial" w:eastAsiaTheme="majorEastAsia" w:hAnsi="Arial" w:cs="Arial"/>
                <w:bCs/>
                <w:color w:val="000000" w:themeColor="text1"/>
                <w:sz w:val="24"/>
                <w:szCs w:val="20"/>
              </w:rPr>
            </w:pPr>
            <w:r>
              <w:rPr>
                <w:color w:val="000000"/>
                <w:sz w:val="27"/>
                <w:szCs w:val="27"/>
              </w:rPr>
              <w:t>St Andrews Methodist Primary School</w:t>
            </w:r>
          </w:p>
        </w:tc>
      </w:tr>
      <w:tr w:rsidR="00CD1CA5" w:rsidRPr="007A16CB" w14:paraId="03669197" w14:textId="77777777" w:rsidTr="005B65E5">
        <w:tc>
          <w:tcPr>
            <w:tcW w:w="2405" w:type="dxa"/>
          </w:tcPr>
          <w:p w14:paraId="27F41B9A"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Name of committee:</w:t>
            </w:r>
          </w:p>
        </w:tc>
        <w:tc>
          <w:tcPr>
            <w:tcW w:w="8363" w:type="dxa"/>
          </w:tcPr>
          <w:p w14:paraId="5AD39E23" w14:textId="067B45CC" w:rsidR="00CD1CA5" w:rsidRPr="007A16CB" w:rsidRDefault="00CD1CA5" w:rsidP="005B65E5">
            <w:pPr>
              <w:spacing w:after="240"/>
              <w:jc w:val="center"/>
              <w:rPr>
                <w:rFonts w:ascii="Calibri" w:eastAsiaTheme="majorEastAsia" w:hAnsi="Calibri" w:cstheme="majorBidi"/>
                <w:bCs/>
                <w:color w:val="000000" w:themeColor="text1"/>
                <w:sz w:val="24"/>
                <w:szCs w:val="20"/>
              </w:rPr>
            </w:pPr>
            <w:r>
              <w:rPr>
                <w:rFonts w:ascii="Calibri" w:eastAsiaTheme="majorEastAsia" w:hAnsi="Calibri" w:cstheme="majorBidi"/>
                <w:bCs/>
                <w:color w:val="000000" w:themeColor="text1"/>
                <w:sz w:val="24"/>
                <w:szCs w:val="20"/>
              </w:rPr>
              <w:t>PAY</w:t>
            </w:r>
          </w:p>
        </w:tc>
      </w:tr>
      <w:tr w:rsidR="00CD1CA5" w:rsidRPr="007A16CB" w14:paraId="36CE37E1" w14:textId="77777777" w:rsidTr="005B65E5">
        <w:tc>
          <w:tcPr>
            <w:tcW w:w="2405" w:type="dxa"/>
            <w:tcBorders>
              <w:bottom w:val="single" w:sz="4" w:space="0" w:color="auto"/>
            </w:tcBorders>
          </w:tcPr>
          <w:p w14:paraId="10EBFE6A"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Date agreed:</w:t>
            </w:r>
          </w:p>
        </w:tc>
        <w:tc>
          <w:tcPr>
            <w:tcW w:w="8363" w:type="dxa"/>
            <w:tcBorders>
              <w:bottom w:val="single" w:sz="4" w:space="0" w:color="auto"/>
            </w:tcBorders>
          </w:tcPr>
          <w:p w14:paraId="488BD098" w14:textId="77777777" w:rsidR="00CD1CA5" w:rsidRPr="007A16CB" w:rsidRDefault="00CD1CA5" w:rsidP="005B65E5">
            <w:pPr>
              <w:spacing w:after="240"/>
              <w:jc w:val="center"/>
              <w:rPr>
                <w:rFonts w:ascii="Calibri" w:eastAsiaTheme="majorEastAsia" w:hAnsi="Calibri" w:cstheme="majorBidi"/>
                <w:bCs/>
                <w:color w:val="000000" w:themeColor="text1"/>
                <w:sz w:val="24"/>
                <w:szCs w:val="20"/>
              </w:rPr>
            </w:pPr>
            <w:r>
              <w:rPr>
                <w:rFonts w:ascii="Calibri" w:eastAsiaTheme="majorEastAsia" w:hAnsi="Calibri" w:cstheme="majorBidi"/>
                <w:bCs/>
                <w:color w:val="000000" w:themeColor="text1"/>
                <w:sz w:val="24"/>
                <w:szCs w:val="20"/>
              </w:rPr>
              <w:t>2023-2024</w:t>
            </w:r>
          </w:p>
        </w:tc>
      </w:tr>
      <w:tr w:rsidR="00CD1CA5" w:rsidRPr="007A16CB" w14:paraId="4E056B58" w14:textId="77777777" w:rsidTr="005B65E5">
        <w:tc>
          <w:tcPr>
            <w:tcW w:w="2405" w:type="dxa"/>
            <w:tcBorders>
              <w:bottom w:val="single" w:sz="4" w:space="0" w:color="auto"/>
            </w:tcBorders>
          </w:tcPr>
          <w:p w14:paraId="2042725B"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Review date:</w:t>
            </w:r>
          </w:p>
        </w:tc>
        <w:tc>
          <w:tcPr>
            <w:tcW w:w="8363" w:type="dxa"/>
            <w:tcBorders>
              <w:bottom w:val="single" w:sz="4" w:space="0" w:color="auto"/>
            </w:tcBorders>
          </w:tcPr>
          <w:p w14:paraId="3029C8B4" w14:textId="77777777" w:rsidR="00CD1CA5" w:rsidRPr="007A16CB" w:rsidRDefault="00CD1CA5" w:rsidP="005B65E5">
            <w:pPr>
              <w:spacing w:after="40"/>
              <w:rPr>
                <w:rFonts w:ascii="Calibri" w:eastAsiaTheme="majorEastAsia" w:hAnsi="Calibri" w:cstheme="majorBidi"/>
                <w:bCs/>
                <w:i/>
                <w:iCs/>
                <w:color w:val="000000" w:themeColor="text1"/>
                <w:sz w:val="24"/>
                <w:szCs w:val="20"/>
              </w:rPr>
            </w:pPr>
            <w:r w:rsidRPr="007A16CB">
              <w:rPr>
                <w:rFonts w:ascii="Calibri" w:eastAsiaTheme="majorEastAsia" w:hAnsi="Calibri" w:cstheme="majorBidi"/>
                <w:bCs/>
                <w:i/>
                <w:iCs/>
                <w:color w:val="000000" w:themeColor="text1"/>
                <w:sz w:val="24"/>
                <w:szCs w:val="20"/>
              </w:rPr>
              <w:t>Terms of reference must be reviewed by the full governing board annually</w:t>
            </w:r>
          </w:p>
        </w:tc>
      </w:tr>
    </w:tbl>
    <w:p w14:paraId="40F3F386" w14:textId="77777777" w:rsidR="00CD1CA5" w:rsidRPr="004052CA" w:rsidRDefault="00CD1CA5" w:rsidP="00CD1CA5"/>
    <w:tbl>
      <w:tblPr>
        <w:tblStyle w:val="TableGrid"/>
        <w:tblW w:w="10768" w:type="dxa"/>
        <w:tblLook w:val="04A0" w:firstRow="1" w:lastRow="0" w:firstColumn="1" w:lastColumn="0" w:noHBand="0" w:noVBand="1"/>
      </w:tblPr>
      <w:tblGrid>
        <w:gridCol w:w="2405"/>
        <w:gridCol w:w="8363"/>
      </w:tblGrid>
      <w:tr w:rsidR="00CD1CA5" w:rsidRPr="007A16CB" w14:paraId="17104CA4" w14:textId="77777777" w:rsidTr="005B65E5">
        <w:trPr>
          <w:trHeight w:val="50"/>
        </w:trPr>
        <w:tc>
          <w:tcPr>
            <w:tcW w:w="2405" w:type="dxa"/>
            <w:tcBorders>
              <w:top w:val="single" w:sz="4" w:space="0" w:color="auto"/>
            </w:tcBorders>
          </w:tcPr>
          <w:p w14:paraId="69D22C60"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Chair of committee:</w:t>
            </w:r>
          </w:p>
        </w:tc>
        <w:tc>
          <w:tcPr>
            <w:tcW w:w="8363" w:type="dxa"/>
            <w:tcBorders>
              <w:top w:val="single" w:sz="4" w:space="0" w:color="auto"/>
            </w:tcBorders>
          </w:tcPr>
          <w:p w14:paraId="3EFD50C4" w14:textId="77777777" w:rsidR="00CD1CA5" w:rsidRPr="007A16CB" w:rsidRDefault="00CD1CA5" w:rsidP="005B65E5">
            <w:pPr>
              <w:spacing w:after="240"/>
              <w:jc w:val="center"/>
              <w:rPr>
                <w:rFonts w:ascii="Arial" w:eastAsiaTheme="majorEastAsia" w:hAnsi="Arial" w:cs="Arial"/>
                <w:bCs/>
                <w:color w:val="000000" w:themeColor="text1"/>
                <w:sz w:val="24"/>
                <w:szCs w:val="20"/>
              </w:rPr>
            </w:pPr>
            <w:r>
              <w:rPr>
                <w:rFonts w:ascii="Arial" w:eastAsiaTheme="majorEastAsia" w:hAnsi="Arial" w:cs="Arial"/>
                <w:bCs/>
                <w:color w:val="000000" w:themeColor="text1"/>
                <w:sz w:val="24"/>
                <w:szCs w:val="20"/>
              </w:rPr>
              <w:t>XXXX</w:t>
            </w:r>
          </w:p>
        </w:tc>
      </w:tr>
      <w:tr w:rsidR="00CD1CA5" w:rsidRPr="007A16CB" w14:paraId="58EF4A8C" w14:textId="77777777" w:rsidTr="005B65E5">
        <w:tc>
          <w:tcPr>
            <w:tcW w:w="2405" w:type="dxa"/>
          </w:tcPr>
          <w:p w14:paraId="6758F675"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Clerk:</w:t>
            </w:r>
          </w:p>
        </w:tc>
        <w:tc>
          <w:tcPr>
            <w:tcW w:w="8363" w:type="dxa"/>
          </w:tcPr>
          <w:p w14:paraId="5AF3E043" w14:textId="77777777" w:rsidR="00CD1CA5" w:rsidRPr="007A16CB" w:rsidRDefault="00CD1CA5" w:rsidP="005B65E5">
            <w:pPr>
              <w:spacing w:afterLines="40" w:after="96"/>
              <w:rPr>
                <w:rFonts w:eastAsiaTheme="majorEastAsia" w:cstheme="minorHAnsi"/>
                <w:bCs/>
                <w:i/>
                <w:iCs/>
                <w:color w:val="000000" w:themeColor="text1"/>
                <w:sz w:val="24"/>
                <w:szCs w:val="20"/>
              </w:rPr>
            </w:pPr>
            <w:r w:rsidRPr="00D71F87">
              <w:rPr>
                <w:rFonts w:eastAsiaTheme="majorEastAsia" w:cstheme="minorHAnsi"/>
                <w:bCs/>
                <w:i/>
                <w:iCs/>
                <w:color w:val="000000" w:themeColor="text1"/>
                <w:sz w:val="24"/>
                <w:szCs w:val="20"/>
              </w:rPr>
              <w:t xml:space="preserve">Arranged by the full governing board </w:t>
            </w:r>
          </w:p>
        </w:tc>
      </w:tr>
      <w:tr w:rsidR="00CD1CA5" w:rsidRPr="007A16CB" w14:paraId="3AFE3E04" w14:textId="77777777" w:rsidTr="005B65E5">
        <w:tc>
          <w:tcPr>
            <w:tcW w:w="2405" w:type="dxa"/>
          </w:tcPr>
          <w:p w14:paraId="2046BC5C"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Quorum:</w:t>
            </w:r>
          </w:p>
        </w:tc>
        <w:tc>
          <w:tcPr>
            <w:tcW w:w="8363" w:type="dxa"/>
          </w:tcPr>
          <w:p w14:paraId="54B4E691" w14:textId="77777777" w:rsidR="00CD1CA5" w:rsidRPr="007A16CB" w:rsidRDefault="00CD1CA5" w:rsidP="005B65E5">
            <w:pPr>
              <w:spacing w:afterLines="40" w:after="96"/>
              <w:rPr>
                <w:rFonts w:eastAsiaTheme="minorEastAsia" w:cstheme="minorHAnsi"/>
                <w:i/>
                <w:iCs/>
                <w:color w:val="000000" w:themeColor="text1"/>
                <w:sz w:val="24"/>
                <w:szCs w:val="20"/>
              </w:rPr>
            </w:pPr>
            <w:r w:rsidRPr="00D71F87">
              <w:rPr>
                <w:rFonts w:eastAsiaTheme="minorEastAsia" w:cstheme="minorHAnsi"/>
                <w:i/>
                <w:iCs/>
                <w:color w:val="000000" w:themeColor="text1"/>
                <w:sz w:val="24"/>
                <w:szCs w:val="20"/>
              </w:rPr>
              <w:t xml:space="preserve">The quorum for the committee shall be a minimum of three governors </w:t>
            </w:r>
            <w:r w:rsidRPr="007A16CB">
              <w:rPr>
                <w:rFonts w:eastAsiaTheme="minorEastAsia" w:cstheme="minorHAnsi"/>
                <w:i/>
                <w:iCs/>
                <w:color w:val="000000" w:themeColor="text1"/>
                <w:sz w:val="24"/>
                <w:szCs w:val="20"/>
              </w:rPr>
              <w:t xml:space="preserve"> </w:t>
            </w:r>
          </w:p>
        </w:tc>
      </w:tr>
      <w:tr w:rsidR="00CD1CA5" w:rsidRPr="007A16CB" w14:paraId="0AF0F66A" w14:textId="77777777" w:rsidTr="005B65E5">
        <w:tc>
          <w:tcPr>
            <w:tcW w:w="2405" w:type="dxa"/>
          </w:tcPr>
          <w:p w14:paraId="09856FF1" w14:textId="60F59981" w:rsidR="00CD1CA5" w:rsidRPr="007A16CB" w:rsidRDefault="00CD1CA5" w:rsidP="005B65E5">
            <w:pPr>
              <w:rPr>
                <w:rFonts w:ascii="Arial" w:eastAsiaTheme="majorEastAsia" w:hAnsi="Arial" w:cs="Arial"/>
                <w:b/>
                <w:bCs/>
                <w:color w:val="054078"/>
                <w:sz w:val="24"/>
                <w:szCs w:val="20"/>
              </w:rPr>
            </w:pPr>
            <w:r>
              <w:rPr>
                <w:rFonts w:ascii="Arial" w:eastAsiaTheme="majorEastAsia" w:hAnsi="Arial" w:cs="Arial"/>
                <w:b/>
                <w:bCs/>
                <w:color w:val="054078"/>
                <w:sz w:val="24"/>
                <w:szCs w:val="20"/>
              </w:rPr>
              <w:t>Membership:</w:t>
            </w:r>
          </w:p>
        </w:tc>
        <w:tc>
          <w:tcPr>
            <w:tcW w:w="8363" w:type="dxa"/>
          </w:tcPr>
          <w:p w14:paraId="5F243422" w14:textId="01C0C46A" w:rsidR="00CD1CA5" w:rsidRPr="00D71F87" w:rsidRDefault="00CD1CA5" w:rsidP="005B65E5">
            <w:pPr>
              <w:spacing w:afterLines="40" w:after="96"/>
              <w:rPr>
                <w:rFonts w:eastAsiaTheme="minorEastAsia" w:cstheme="minorHAnsi"/>
                <w:i/>
                <w:iCs/>
                <w:color w:val="000000" w:themeColor="text1"/>
                <w:sz w:val="24"/>
                <w:szCs w:val="20"/>
              </w:rPr>
            </w:pPr>
            <w:r>
              <w:rPr>
                <w:rFonts w:eastAsiaTheme="minorEastAsia" w:cstheme="minorHAnsi"/>
                <w:i/>
                <w:iCs/>
                <w:color w:val="000000" w:themeColor="text1"/>
                <w:sz w:val="24"/>
                <w:szCs w:val="20"/>
              </w:rPr>
              <w:t>3 governors – A Chair will be appointed/elected to the committee and a clerk will be appointed</w:t>
            </w:r>
          </w:p>
        </w:tc>
      </w:tr>
      <w:tr w:rsidR="00CD1CA5" w:rsidRPr="007A16CB" w14:paraId="654E0297" w14:textId="77777777" w:rsidTr="005B65E5">
        <w:tc>
          <w:tcPr>
            <w:tcW w:w="2405" w:type="dxa"/>
          </w:tcPr>
          <w:p w14:paraId="469DE42A" w14:textId="77777777" w:rsidR="00CD1CA5" w:rsidRPr="007A16CB" w:rsidRDefault="00CD1CA5" w:rsidP="005B65E5">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Meetings:</w:t>
            </w:r>
          </w:p>
        </w:tc>
        <w:tc>
          <w:tcPr>
            <w:tcW w:w="8363" w:type="dxa"/>
          </w:tcPr>
          <w:p w14:paraId="3246E864" w14:textId="56638B61" w:rsidR="00CD1CA5" w:rsidRPr="007A16CB" w:rsidRDefault="00CD1CA5" w:rsidP="005B65E5">
            <w:pPr>
              <w:spacing w:afterLines="40" w:after="96"/>
              <w:rPr>
                <w:rFonts w:eastAsiaTheme="minorEastAsia" w:cstheme="minorHAnsi"/>
                <w:i/>
                <w:iCs/>
                <w:color w:val="000000" w:themeColor="text1"/>
                <w:sz w:val="24"/>
                <w:szCs w:val="20"/>
              </w:rPr>
            </w:pPr>
            <w:r w:rsidRPr="00D71F87">
              <w:rPr>
                <w:rFonts w:eastAsiaTheme="minorEastAsia" w:cstheme="minorHAnsi"/>
                <w:i/>
                <w:iCs/>
                <w:color w:val="000000" w:themeColor="text1"/>
                <w:sz w:val="24"/>
                <w:szCs w:val="20"/>
              </w:rPr>
              <w:t xml:space="preserve">The committee will meet </w:t>
            </w:r>
            <w:r>
              <w:rPr>
                <w:rFonts w:eastAsiaTheme="minorEastAsia" w:cstheme="minorHAnsi"/>
                <w:i/>
                <w:iCs/>
                <w:color w:val="000000" w:themeColor="text1"/>
                <w:sz w:val="24"/>
                <w:szCs w:val="20"/>
              </w:rPr>
              <w:t xml:space="preserve">during the autumn term and at any other time of required </w:t>
            </w:r>
          </w:p>
        </w:tc>
      </w:tr>
      <w:tr w:rsidR="00CD1CA5" w:rsidRPr="007A16CB" w14:paraId="7C031FE5" w14:textId="77777777" w:rsidTr="005B65E5">
        <w:tc>
          <w:tcPr>
            <w:tcW w:w="2405" w:type="dxa"/>
          </w:tcPr>
          <w:p w14:paraId="7CC658E2" w14:textId="77777777" w:rsidR="00CD1CA5" w:rsidRPr="00D71F87" w:rsidRDefault="00CD1CA5" w:rsidP="005B65E5">
            <w:pPr>
              <w:rPr>
                <w:rFonts w:ascii="Arial" w:eastAsiaTheme="majorEastAsia" w:hAnsi="Arial" w:cs="Arial"/>
                <w:b/>
                <w:bCs/>
                <w:color w:val="054078"/>
                <w:sz w:val="24"/>
                <w:szCs w:val="20"/>
              </w:rPr>
            </w:pPr>
            <w:r w:rsidRPr="00D71F87">
              <w:rPr>
                <w:rFonts w:ascii="Arial" w:eastAsiaTheme="majorEastAsia" w:hAnsi="Arial" w:cs="Arial"/>
                <w:b/>
                <w:bCs/>
                <w:color w:val="054078"/>
                <w:sz w:val="24"/>
                <w:szCs w:val="20"/>
              </w:rPr>
              <w:t>Minutes:</w:t>
            </w:r>
          </w:p>
        </w:tc>
        <w:tc>
          <w:tcPr>
            <w:tcW w:w="8363" w:type="dxa"/>
          </w:tcPr>
          <w:p w14:paraId="604CC3DF" w14:textId="43E6DFC1" w:rsidR="00CD1CA5" w:rsidRPr="00CD1CA5" w:rsidRDefault="00CD1CA5" w:rsidP="005B65E5">
            <w:pPr>
              <w:spacing w:afterLines="40" w:after="96"/>
              <w:rPr>
                <w:rFonts w:eastAsiaTheme="minorEastAsia" w:cstheme="minorHAnsi"/>
                <w:i/>
                <w:iCs/>
                <w:sz w:val="24"/>
                <w:szCs w:val="20"/>
              </w:rPr>
            </w:pPr>
            <w:r>
              <w:rPr>
                <w:i/>
                <w:iCs/>
              </w:rPr>
              <w:t>The minutes a</w:t>
            </w:r>
            <w:r w:rsidRPr="00CD1CA5">
              <w:rPr>
                <w:i/>
                <w:iCs/>
              </w:rPr>
              <w:t>re confidential to the committee and will be provisionally approved by the Chair of the committee and ratified at its next meeting</w:t>
            </w:r>
          </w:p>
        </w:tc>
      </w:tr>
    </w:tbl>
    <w:p w14:paraId="1EEB84E3" w14:textId="77777777" w:rsidR="00CD1CA5" w:rsidRDefault="00CD1CA5" w:rsidP="00CD1CA5">
      <w:pPr>
        <w:spacing w:after="0" w:line="240" w:lineRule="auto"/>
        <w:rPr>
          <w:rFonts w:ascii="Arial" w:eastAsia="Times New Roman" w:hAnsi="Arial" w:cs="Times New Roman"/>
          <w:b/>
          <w:kern w:val="0"/>
          <w:sz w:val="24"/>
          <w:szCs w:val="24"/>
          <w:lang w:eastAsia="en-GB"/>
          <w14:ligatures w14:val="none"/>
        </w:rPr>
      </w:pPr>
    </w:p>
    <w:p w14:paraId="4C55B322" w14:textId="124132E9" w:rsidR="00CD1CA5" w:rsidRPr="004052CA" w:rsidRDefault="00CD1CA5" w:rsidP="00CD1CA5">
      <w:pPr>
        <w:spacing w:after="0" w:line="240" w:lineRule="auto"/>
        <w:rPr>
          <w:rFonts w:ascii="Arial" w:eastAsia="Times New Roman" w:hAnsi="Arial" w:cs="Times New Roman"/>
          <w:b/>
          <w:kern w:val="0"/>
          <w:sz w:val="24"/>
          <w:szCs w:val="24"/>
          <w:lang w:eastAsia="en-GB"/>
          <w14:ligatures w14:val="none"/>
        </w:rPr>
      </w:pPr>
    </w:p>
    <w:p w14:paraId="7E349C4B" w14:textId="77777777" w:rsidR="00CD1CA5" w:rsidRPr="00CD1CA5" w:rsidRDefault="00CD1CA5" w:rsidP="00CD1CA5">
      <w:pPr>
        <w:pStyle w:val="ListParagraph"/>
        <w:numPr>
          <w:ilvl w:val="0"/>
          <w:numId w:val="3"/>
        </w:numPr>
        <w:rPr>
          <w:sz w:val="24"/>
          <w:szCs w:val="24"/>
        </w:rPr>
      </w:pPr>
      <w:r w:rsidRPr="00CD1CA5">
        <w:rPr>
          <w:sz w:val="24"/>
          <w:szCs w:val="24"/>
        </w:rPr>
        <w:t>The Pay Committee will have delegated powers to consider and decide all matters concerning pay as detailed in the Pay Policy and to ensure that the policy is operated in a fair, consistent and objective manner.</w:t>
      </w:r>
    </w:p>
    <w:p w14:paraId="5B4FD6BC" w14:textId="77777777" w:rsidR="00CD1CA5" w:rsidRPr="00CD1CA5" w:rsidRDefault="00CD1CA5" w:rsidP="00CD1CA5">
      <w:pPr>
        <w:pStyle w:val="ListParagraph"/>
        <w:numPr>
          <w:ilvl w:val="0"/>
          <w:numId w:val="3"/>
        </w:numPr>
        <w:rPr>
          <w:rFonts w:cs="Arial"/>
          <w:sz w:val="24"/>
          <w:szCs w:val="24"/>
        </w:rPr>
      </w:pPr>
      <w:r w:rsidRPr="00CD1CA5">
        <w:rPr>
          <w:rFonts w:cs="Arial"/>
          <w:sz w:val="24"/>
          <w:szCs w:val="24"/>
        </w:rPr>
        <w:t xml:space="preserve">The Governing Board will have regard for the appraisal report and consider the advice from the Senior Leadership team when making the final decisions on pay recommendations.  </w:t>
      </w:r>
    </w:p>
    <w:p w14:paraId="64F710EF" w14:textId="77777777" w:rsidR="00CD1CA5" w:rsidRDefault="00CD1CA5" w:rsidP="00CD1CA5">
      <w:pPr>
        <w:pStyle w:val="ListParagraph"/>
        <w:numPr>
          <w:ilvl w:val="0"/>
          <w:numId w:val="3"/>
        </w:numPr>
        <w:rPr>
          <w:sz w:val="24"/>
          <w:szCs w:val="24"/>
        </w:rPr>
      </w:pPr>
      <w:r w:rsidRPr="00CD1CA5">
        <w:rPr>
          <w:sz w:val="24"/>
          <w:szCs w:val="24"/>
        </w:rPr>
        <w:t>The Pay Committee will ensure that each member of staff is provided with a written statement confirming his/her salary with effect from 1 September each year.</w:t>
      </w:r>
    </w:p>
    <w:p w14:paraId="56C6A4C9" w14:textId="77777777" w:rsidR="00CD1CA5" w:rsidRDefault="00CD1CA5" w:rsidP="00CD1CA5">
      <w:pPr>
        <w:pStyle w:val="ListParagraph"/>
        <w:numPr>
          <w:ilvl w:val="0"/>
          <w:numId w:val="3"/>
        </w:numPr>
        <w:rPr>
          <w:sz w:val="24"/>
          <w:szCs w:val="24"/>
        </w:rPr>
      </w:pPr>
      <w:r w:rsidRPr="00CD1CA5">
        <w:rPr>
          <w:sz w:val="24"/>
          <w:szCs w:val="24"/>
        </w:rPr>
        <w:t xml:space="preserve">The identification criteria for progression up the pay spine and for withholding progress will be in accordance with the mandatory and discretionary elements of the School Teachers’ Pay and Conditions Document. </w:t>
      </w:r>
    </w:p>
    <w:p w14:paraId="7B7109DC" w14:textId="77777777" w:rsidR="00101D62" w:rsidRDefault="00CD1CA5" w:rsidP="00CD1CA5">
      <w:pPr>
        <w:pStyle w:val="ListParagraph"/>
        <w:numPr>
          <w:ilvl w:val="0"/>
          <w:numId w:val="3"/>
        </w:numPr>
        <w:rPr>
          <w:sz w:val="24"/>
          <w:szCs w:val="24"/>
        </w:rPr>
      </w:pPr>
      <w:r w:rsidRPr="00CD1CA5">
        <w:rPr>
          <w:sz w:val="24"/>
          <w:szCs w:val="24"/>
        </w:rPr>
        <w:t xml:space="preserve">Should a member of staff appeal against the decision of the Pay Committee, the employee will have the decision reviewed by the original pay committee.  </w:t>
      </w:r>
    </w:p>
    <w:p w14:paraId="2BC23209" w14:textId="64B47ECA" w:rsidR="00CD1CA5" w:rsidRPr="00CD1CA5" w:rsidRDefault="00CD1CA5" w:rsidP="00CD1CA5">
      <w:pPr>
        <w:pStyle w:val="ListParagraph"/>
        <w:numPr>
          <w:ilvl w:val="0"/>
          <w:numId w:val="3"/>
        </w:numPr>
        <w:rPr>
          <w:sz w:val="24"/>
          <w:szCs w:val="24"/>
        </w:rPr>
      </w:pPr>
      <w:r w:rsidRPr="00CD1CA5">
        <w:rPr>
          <w:sz w:val="24"/>
          <w:szCs w:val="24"/>
        </w:rPr>
        <w:t>If the employee wishes to appeal against the reviewed decision, a Pay Appeal Committee will consider the appeal.</w:t>
      </w:r>
    </w:p>
    <w:p w14:paraId="0130FEE7" w14:textId="77777777" w:rsidR="00CD1CA5" w:rsidRPr="003F5FDE" w:rsidRDefault="00CD1CA5" w:rsidP="00CD1CA5">
      <w:pPr>
        <w:spacing w:after="0" w:line="360" w:lineRule="auto"/>
        <w:rPr>
          <w:rFonts w:eastAsia="Times New Roman" w:cstheme="minorHAnsi"/>
          <w:kern w:val="0"/>
          <w:sz w:val="24"/>
          <w:szCs w:val="24"/>
          <w:lang w:eastAsia="en-GB"/>
          <w14:ligatures w14:val="none"/>
        </w:rPr>
      </w:pPr>
    </w:p>
    <w:p w14:paraId="4FAF95BF" w14:textId="77777777" w:rsidR="00CD1CA5" w:rsidRDefault="00CD1CA5" w:rsidP="00CD1CA5">
      <w:pPr>
        <w:spacing w:line="360" w:lineRule="auto"/>
        <w:rPr>
          <w:rFonts w:ascii="Arial" w:hAnsi="Arial" w:cs="Arial"/>
          <w:b/>
          <w:bCs/>
          <w:sz w:val="24"/>
          <w:szCs w:val="24"/>
        </w:rPr>
      </w:pPr>
    </w:p>
    <w:p w14:paraId="1E109236" w14:textId="77777777" w:rsidR="00CD1CA5" w:rsidRDefault="00CD1CA5" w:rsidP="00CD1CA5">
      <w:pPr>
        <w:spacing w:line="360" w:lineRule="auto"/>
        <w:rPr>
          <w:rFonts w:ascii="Arial" w:hAnsi="Arial" w:cs="Arial"/>
          <w:b/>
          <w:bCs/>
          <w:sz w:val="24"/>
          <w:szCs w:val="24"/>
        </w:rPr>
      </w:pPr>
    </w:p>
    <w:p w14:paraId="7CC5EE0A" w14:textId="77777777" w:rsidR="00CD1CA5" w:rsidRPr="0048545C" w:rsidRDefault="00CD1CA5" w:rsidP="00CD1CA5">
      <w:pPr>
        <w:spacing w:line="360" w:lineRule="auto"/>
        <w:rPr>
          <w:rFonts w:ascii="Arial" w:hAnsi="Arial" w:cs="Arial"/>
          <w:b/>
          <w:bCs/>
          <w:sz w:val="24"/>
          <w:szCs w:val="24"/>
        </w:rPr>
      </w:pPr>
    </w:p>
    <w:p w14:paraId="3C2E493A" w14:textId="77777777" w:rsidR="008A3D72" w:rsidRDefault="008A3D72"/>
    <w:sectPr w:rsidR="008A3D72" w:rsidSect="004052C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5DA6" w14:textId="77777777" w:rsidR="00923203" w:rsidRDefault="00923203">
      <w:pPr>
        <w:spacing w:after="0" w:line="240" w:lineRule="auto"/>
      </w:pPr>
      <w:r>
        <w:separator/>
      </w:r>
    </w:p>
  </w:endnote>
  <w:endnote w:type="continuationSeparator" w:id="0">
    <w:p w14:paraId="3B92AD8C" w14:textId="77777777" w:rsidR="00923203" w:rsidRDefault="0092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80142"/>
      <w:docPartObj>
        <w:docPartGallery w:val="Page Numbers (Bottom of Page)"/>
        <w:docPartUnique/>
      </w:docPartObj>
    </w:sdtPr>
    <w:sdtEndPr>
      <w:rPr>
        <w:noProof/>
      </w:rPr>
    </w:sdtEndPr>
    <w:sdtContent>
      <w:p w14:paraId="72B742AC" w14:textId="77777777" w:rsidR="00923203" w:rsidRDefault="00101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85B359" w14:textId="77777777" w:rsidR="00923203" w:rsidRDefault="0092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EF4A" w14:textId="77777777" w:rsidR="00923203" w:rsidRDefault="00923203">
      <w:pPr>
        <w:spacing w:after="0" w:line="240" w:lineRule="auto"/>
      </w:pPr>
      <w:r>
        <w:separator/>
      </w:r>
    </w:p>
  </w:footnote>
  <w:footnote w:type="continuationSeparator" w:id="0">
    <w:p w14:paraId="53D30933" w14:textId="77777777" w:rsidR="00923203" w:rsidRDefault="00923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5EE"/>
    <w:multiLevelType w:val="hybridMultilevel"/>
    <w:tmpl w:val="C934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31AF0"/>
    <w:multiLevelType w:val="hybridMultilevel"/>
    <w:tmpl w:val="C54C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71F1A"/>
    <w:multiLevelType w:val="hybridMultilevel"/>
    <w:tmpl w:val="E5548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3704092">
    <w:abstractNumId w:val="0"/>
  </w:num>
  <w:num w:numId="2" w16cid:durableId="1406681746">
    <w:abstractNumId w:val="2"/>
  </w:num>
  <w:num w:numId="3" w16cid:durableId="99918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A5"/>
    <w:rsid w:val="00101D62"/>
    <w:rsid w:val="008A3D72"/>
    <w:rsid w:val="00923203"/>
    <w:rsid w:val="00CD1C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A35E"/>
  <w15:chartTrackingRefBased/>
  <w15:docId w15:val="{FAD51560-2222-401C-BE18-17771A1E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C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CA5"/>
    <w:pPr>
      <w:ind w:left="720"/>
      <w:contextualSpacing/>
    </w:pPr>
  </w:style>
  <w:style w:type="character" w:styleId="Hyperlink">
    <w:name w:val="Hyperlink"/>
    <w:basedOn w:val="DefaultParagraphFont"/>
    <w:uiPriority w:val="99"/>
    <w:unhideWhenUsed/>
    <w:rsid w:val="00CD1CA5"/>
    <w:rPr>
      <w:color w:val="0563C1" w:themeColor="hyperlink"/>
      <w:u w:val="single"/>
    </w:rPr>
  </w:style>
  <w:style w:type="paragraph" w:styleId="Footer">
    <w:name w:val="footer"/>
    <w:basedOn w:val="Normal"/>
    <w:link w:val="FooterChar"/>
    <w:unhideWhenUsed/>
    <w:rsid w:val="00CD1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Melanie</dc:creator>
  <cp:keywords/>
  <dc:description/>
  <cp:lastModifiedBy>Jones, Jade</cp:lastModifiedBy>
  <cp:revision>2</cp:revision>
  <dcterms:created xsi:type="dcterms:W3CDTF">2023-07-06T19:54:00Z</dcterms:created>
  <dcterms:modified xsi:type="dcterms:W3CDTF">2024-01-08T12:46:00Z</dcterms:modified>
</cp:coreProperties>
</file>