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54CA" w14:textId="77777777" w:rsidR="00B4246F" w:rsidRDefault="00B4246F" w:rsidP="00F36594"/>
    <w:p w14:paraId="34CDBF30" w14:textId="6FEAAEFF" w:rsidR="00F36594" w:rsidRDefault="00F36594" w:rsidP="00F36594">
      <w:r w:rsidRPr="008F297C">
        <w:rPr>
          <w:rFonts w:ascii="Arial" w:eastAsia="Times New Roman" w:hAnsi="Arial" w:cs="Times New Roman"/>
          <w:b/>
          <w:noProof/>
          <w:kern w:val="0"/>
          <w:sz w:val="24"/>
          <w:szCs w:val="24"/>
          <w:lang w:eastAsia="en-GB"/>
          <w14:ligatures w14:val="none"/>
        </w:rPr>
        <w:drawing>
          <wp:anchor distT="0" distB="0" distL="114300" distR="114300" simplePos="0" relativeHeight="251659264" behindDoc="1" locked="0" layoutInCell="1" allowOverlap="1" wp14:anchorId="03D46580" wp14:editId="0646803F">
            <wp:simplePos x="0" y="0"/>
            <wp:positionH relativeFrom="column">
              <wp:posOffset>4571497</wp:posOffset>
            </wp:positionH>
            <wp:positionV relativeFrom="paragraph">
              <wp:posOffset>284</wp:posOffset>
            </wp:positionV>
            <wp:extent cx="2009775" cy="495300"/>
            <wp:effectExtent l="0" t="0" r="9525" b="0"/>
            <wp:wrapTight wrapText="bothSides">
              <wp:wrapPolygon edited="0">
                <wp:start x="0" y="0"/>
                <wp:lineTo x="0" y="20769"/>
                <wp:lineTo x="21498" y="20769"/>
                <wp:lineTo x="21498" y="0"/>
                <wp:lineTo x="0" y="0"/>
              </wp:wrapPolygon>
            </wp:wrapTight>
            <wp:docPr id="1242313361" name="Picture 1" descr="A pink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13361" name="Picture 1" descr="A pink rectangle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C704C" w14:textId="77777777" w:rsidR="00F36594" w:rsidRPr="004052CA" w:rsidRDefault="00F36594" w:rsidP="00F36594"/>
    <w:tbl>
      <w:tblPr>
        <w:tblStyle w:val="TableGrid"/>
        <w:tblpPr w:leftFromText="180" w:rightFromText="180" w:vertAnchor="text" w:horzAnchor="margin" w:tblpY="137"/>
        <w:tblW w:w="10768" w:type="dxa"/>
        <w:tblLook w:val="04A0" w:firstRow="1" w:lastRow="0" w:firstColumn="1" w:lastColumn="0" w:noHBand="0" w:noVBand="1"/>
      </w:tblPr>
      <w:tblGrid>
        <w:gridCol w:w="2405"/>
        <w:gridCol w:w="8363"/>
      </w:tblGrid>
      <w:tr w:rsidR="00F36594" w:rsidRPr="007A16CB" w14:paraId="42C45076" w14:textId="77777777" w:rsidTr="008007E0">
        <w:trPr>
          <w:trHeight w:val="409"/>
        </w:trPr>
        <w:tc>
          <w:tcPr>
            <w:tcW w:w="2405" w:type="dxa"/>
          </w:tcPr>
          <w:p w14:paraId="47DD07F9" w14:textId="77777777" w:rsidR="00F36594" w:rsidRPr="007A16CB" w:rsidRDefault="00F36594" w:rsidP="008007E0">
            <w:pPr>
              <w:rPr>
                <w:rFonts w:ascii="Arial" w:eastAsiaTheme="majorEastAsia" w:hAnsi="Arial" w:cs="Arial"/>
                <w:b/>
                <w:bCs/>
                <w:color w:val="054078"/>
                <w:sz w:val="24"/>
                <w:szCs w:val="20"/>
              </w:rPr>
            </w:pPr>
            <w:r w:rsidRPr="007A16CB">
              <w:rPr>
                <w:rFonts w:ascii="Arial" w:eastAsiaTheme="majorEastAsia" w:hAnsi="Arial" w:cs="Arial"/>
                <w:b/>
                <w:bCs/>
                <w:color w:val="054078"/>
                <w:sz w:val="24"/>
                <w:szCs w:val="20"/>
              </w:rPr>
              <w:t>Name of school:</w:t>
            </w:r>
          </w:p>
        </w:tc>
        <w:tc>
          <w:tcPr>
            <w:tcW w:w="8363" w:type="dxa"/>
          </w:tcPr>
          <w:p w14:paraId="0587B8AC" w14:textId="1489AE2E" w:rsidR="00F36594" w:rsidRPr="007A16CB" w:rsidRDefault="00E94B12" w:rsidP="008007E0">
            <w:pPr>
              <w:spacing w:after="240"/>
              <w:jc w:val="center"/>
              <w:rPr>
                <w:rFonts w:ascii="Arial" w:eastAsiaTheme="majorEastAsia" w:hAnsi="Arial" w:cs="Arial"/>
                <w:bCs/>
                <w:color w:val="000000" w:themeColor="text1"/>
                <w:sz w:val="24"/>
                <w:szCs w:val="20"/>
              </w:rPr>
            </w:pPr>
            <w:r>
              <w:rPr>
                <w:color w:val="000000"/>
                <w:sz w:val="27"/>
                <w:szCs w:val="27"/>
              </w:rPr>
              <w:t>St Andrews Methodist Primary School</w:t>
            </w:r>
          </w:p>
        </w:tc>
      </w:tr>
      <w:tr w:rsidR="00F36594" w:rsidRPr="007A16CB" w14:paraId="57D6C15A" w14:textId="77777777" w:rsidTr="008007E0">
        <w:tc>
          <w:tcPr>
            <w:tcW w:w="2405" w:type="dxa"/>
          </w:tcPr>
          <w:p w14:paraId="004F9EA1" w14:textId="77777777" w:rsidR="00F36594" w:rsidRPr="007A16CB" w:rsidRDefault="00F36594" w:rsidP="008007E0">
            <w:pPr>
              <w:rPr>
                <w:rFonts w:ascii="Arial" w:eastAsiaTheme="majorEastAsia" w:hAnsi="Arial" w:cs="Arial"/>
                <w:b/>
                <w:bCs/>
                <w:color w:val="054078"/>
                <w:sz w:val="24"/>
                <w:szCs w:val="20"/>
              </w:rPr>
            </w:pPr>
            <w:r w:rsidRPr="007A16CB">
              <w:rPr>
                <w:rFonts w:ascii="Arial" w:eastAsiaTheme="majorEastAsia" w:hAnsi="Arial" w:cs="Arial"/>
                <w:b/>
                <w:bCs/>
                <w:color w:val="054078"/>
                <w:sz w:val="24"/>
                <w:szCs w:val="20"/>
              </w:rPr>
              <w:t>Name of committee:</w:t>
            </w:r>
          </w:p>
        </w:tc>
        <w:tc>
          <w:tcPr>
            <w:tcW w:w="8363" w:type="dxa"/>
          </w:tcPr>
          <w:p w14:paraId="09853F36" w14:textId="30E2F4E7" w:rsidR="00F36594" w:rsidRPr="00861845" w:rsidRDefault="00F36594" w:rsidP="008007E0">
            <w:pPr>
              <w:spacing w:after="240"/>
              <w:jc w:val="center"/>
              <w:rPr>
                <w:rFonts w:ascii="Calibri" w:eastAsiaTheme="majorEastAsia" w:hAnsi="Calibri" w:cstheme="majorBidi"/>
                <w:b/>
                <w:color w:val="000000" w:themeColor="text1"/>
                <w:sz w:val="24"/>
                <w:szCs w:val="20"/>
              </w:rPr>
            </w:pPr>
            <w:r w:rsidRPr="00861845">
              <w:rPr>
                <w:rFonts w:ascii="Calibri" w:eastAsiaTheme="majorEastAsia" w:hAnsi="Calibri" w:cstheme="majorBidi"/>
                <w:b/>
                <w:color w:val="000000" w:themeColor="text1"/>
                <w:sz w:val="24"/>
                <w:szCs w:val="20"/>
              </w:rPr>
              <w:t>CURRICULUM</w:t>
            </w:r>
            <w:r w:rsidR="009C4929">
              <w:rPr>
                <w:rFonts w:ascii="Calibri" w:eastAsiaTheme="majorEastAsia" w:hAnsi="Calibri" w:cstheme="majorBidi"/>
                <w:b/>
                <w:color w:val="000000" w:themeColor="text1"/>
                <w:sz w:val="24"/>
                <w:szCs w:val="20"/>
              </w:rPr>
              <w:t xml:space="preserve"> &amp; STAFFING</w:t>
            </w:r>
          </w:p>
        </w:tc>
      </w:tr>
      <w:tr w:rsidR="00F36594" w:rsidRPr="007A16CB" w14:paraId="59CB7000" w14:textId="77777777" w:rsidTr="008007E0">
        <w:tc>
          <w:tcPr>
            <w:tcW w:w="2405" w:type="dxa"/>
            <w:tcBorders>
              <w:bottom w:val="single" w:sz="4" w:space="0" w:color="auto"/>
            </w:tcBorders>
          </w:tcPr>
          <w:p w14:paraId="64C46D87" w14:textId="77777777" w:rsidR="00F36594" w:rsidRPr="007A16CB" w:rsidRDefault="00F36594" w:rsidP="008007E0">
            <w:pPr>
              <w:rPr>
                <w:rFonts w:ascii="Arial" w:eastAsiaTheme="majorEastAsia" w:hAnsi="Arial" w:cs="Arial"/>
                <w:b/>
                <w:bCs/>
                <w:color w:val="054078"/>
                <w:sz w:val="24"/>
                <w:szCs w:val="20"/>
              </w:rPr>
            </w:pPr>
            <w:r w:rsidRPr="007A16CB">
              <w:rPr>
                <w:rFonts w:ascii="Arial" w:eastAsiaTheme="majorEastAsia" w:hAnsi="Arial" w:cs="Arial"/>
                <w:b/>
                <w:bCs/>
                <w:color w:val="054078"/>
                <w:sz w:val="24"/>
                <w:szCs w:val="20"/>
              </w:rPr>
              <w:t>Date agreed:</w:t>
            </w:r>
          </w:p>
        </w:tc>
        <w:tc>
          <w:tcPr>
            <w:tcW w:w="8363" w:type="dxa"/>
            <w:tcBorders>
              <w:bottom w:val="single" w:sz="4" w:space="0" w:color="auto"/>
            </w:tcBorders>
          </w:tcPr>
          <w:p w14:paraId="5EAACEC6" w14:textId="77777777" w:rsidR="00F36594" w:rsidRPr="007A16CB" w:rsidRDefault="00F36594" w:rsidP="008007E0">
            <w:pPr>
              <w:spacing w:after="240"/>
              <w:jc w:val="center"/>
              <w:rPr>
                <w:rFonts w:ascii="Calibri" w:eastAsiaTheme="majorEastAsia" w:hAnsi="Calibri" w:cstheme="majorBidi"/>
                <w:bCs/>
                <w:color w:val="000000" w:themeColor="text1"/>
                <w:sz w:val="24"/>
                <w:szCs w:val="20"/>
              </w:rPr>
            </w:pPr>
            <w:r>
              <w:rPr>
                <w:rFonts w:ascii="Calibri" w:eastAsiaTheme="majorEastAsia" w:hAnsi="Calibri" w:cstheme="majorBidi"/>
                <w:bCs/>
                <w:color w:val="000000" w:themeColor="text1"/>
                <w:sz w:val="24"/>
                <w:szCs w:val="20"/>
              </w:rPr>
              <w:t>2023-2024</w:t>
            </w:r>
          </w:p>
        </w:tc>
      </w:tr>
      <w:tr w:rsidR="00F36594" w:rsidRPr="007A16CB" w14:paraId="50B38545" w14:textId="77777777" w:rsidTr="008007E0">
        <w:tc>
          <w:tcPr>
            <w:tcW w:w="2405" w:type="dxa"/>
            <w:tcBorders>
              <w:bottom w:val="single" w:sz="4" w:space="0" w:color="auto"/>
            </w:tcBorders>
          </w:tcPr>
          <w:p w14:paraId="6C948351" w14:textId="77777777" w:rsidR="00F36594" w:rsidRPr="007A16CB" w:rsidRDefault="00F36594" w:rsidP="008007E0">
            <w:pPr>
              <w:rPr>
                <w:rFonts w:ascii="Arial" w:eastAsiaTheme="majorEastAsia" w:hAnsi="Arial" w:cs="Arial"/>
                <w:b/>
                <w:bCs/>
                <w:color w:val="054078"/>
                <w:sz w:val="24"/>
                <w:szCs w:val="20"/>
              </w:rPr>
            </w:pPr>
            <w:r w:rsidRPr="007A16CB">
              <w:rPr>
                <w:rFonts w:ascii="Arial" w:eastAsiaTheme="majorEastAsia" w:hAnsi="Arial" w:cs="Arial"/>
                <w:b/>
                <w:bCs/>
                <w:color w:val="054078"/>
                <w:sz w:val="24"/>
                <w:szCs w:val="20"/>
              </w:rPr>
              <w:t>Review date:</w:t>
            </w:r>
          </w:p>
        </w:tc>
        <w:tc>
          <w:tcPr>
            <w:tcW w:w="8363" w:type="dxa"/>
            <w:tcBorders>
              <w:bottom w:val="single" w:sz="4" w:space="0" w:color="auto"/>
            </w:tcBorders>
          </w:tcPr>
          <w:p w14:paraId="187EBA08" w14:textId="77777777" w:rsidR="00F36594" w:rsidRPr="007A16CB" w:rsidRDefault="00F36594" w:rsidP="008007E0">
            <w:pPr>
              <w:spacing w:after="40"/>
              <w:rPr>
                <w:rFonts w:ascii="Calibri" w:eastAsiaTheme="majorEastAsia" w:hAnsi="Calibri" w:cstheme="majorBidi"/>
                <w:bCs/>
                <w:i/>
                <w:iCs/>
                <w:color w:val="000000" w:themeColor="text1"/>
                <w:sz w:val="24"/>
                <w:szCs w:val="20"/>
              </w:rPr>
            </w:pPr>
            <w:r w:rsidRPr="007A16CB">
              <w:rPr>
                <w:rFonts w:ascii="Calibri" w:eastAsiaTheme="majorEastAsia" w:hAnsi="Calibri" w:cstheme="majorBidi"/>
                <w:bCs/>
                <w:i/>
                <w:iCs/>
                <w:color w:val="000000" w:themeColor="text1"/>
                <w:sz w:val="24"/>
                <w:szCs w:val="20"/>
              </w:rPr>
              <w:t>Terms of reference must be reviewed by the full governing board annually</w:t>
            </w:r>
          </w:p>
        </w:tc>
      </w:tr>
    </w:tbl>
    <w:p w14:paraId="120C8308" w14:textId="77777777" w:rsidR="00F36594" w:rsidRPr="004052CA" w:rsidRDefault="00F36594" w:rsidP="00F36594"/>
    <w:tbl>
      <w:tblPr>
        <w:tblStyle w:val="TableGrid"/>
        <w:tblW w:w="10768" w:type="dxa"/>
        <w:tblLook w:val="04A0" w:firstRow="1" w:lastRow="0" w:firstColumn="1" w:lastColumn="0" w:noHBand="0" w:noVBand="1"/>
      </w:tblPr>
      <w:tblGrid>
        <w:gridCol w:w="2405"/>
        <w:gridCol w:w="8363"/>
      </w:tblGrid>
      <w:tr w:rsidR="00F36594" w:rsidRPr="007A16CB" w14:paraId="1999B82D" w14:textId="77777777" w:rsidTr="008007E0">
        <w:trPr>
          <w:trHeight w:val="50"/>
        </w:trPr>
        <w:tc>
          <w:tcPr>
            <w:tcW w:w="2405" w:type="dxa"/>
            <w:tcBorders>
              <w:top w:val="single" w:sz="4" w:space="0" w:color="auto"/>
            </w:tcBorders>
          </w:tcPr>
          <w:p w14:paraId="050B9104" w14:textId="77777777" w:rsidR="00F36594" w:rsidRPr="007A16CB" w:rsidRDefault="00F36594" w:rsidP="008007E0">
            <w:pPr>
              <w:rPr>
                <w:rFonts w:ascii="Arial" w:eastAsiaTheme="majorEastAsia" w:hAnsi="Arial" w:cs="Arial"/>
                <w:b/>
                <w:bCs/>
                <w:color w:val="054078"/>
                <w:sz w:val="24"/>
                <w:szCs w:val="20"/>
              </w:rPr>
            </w:pPr>
            <w:r w:rsidRPr="007A16CB">
              <w:rPr>
                <w:rFonts w:ascii="Arial" w:eastAsiaTheme="majorEastAsia" w:hAnsi="Arial" w:cs="Arial"/>
                <w:b/>
                <w:bCs/>
                <w:color w:val="054078"/>
                <w:sz w:val="24"/>
                <w:szCs w:val="20"/>
              </w:rPr>
              <w:t>Chair of committee:</w:t>
            </w:r>
          </w:p>
        </w:tc>
        <w:tc>
          <w:tcPr>
            <w:tcW w:w="8363" w:type="dxa"/>
            <w:tcBorders>
              <w:top w:val="single" w:sz="4" w:space="0" w:color="auto"/>
            </w:tcBorders>
          </w:tcPr>
          <w:p w14:paraId="27C70864" w14:textId="1D7E03C7" w:rsidR="00F36594" w:rsidRPr="00861845" w:rsidRDefault="00861845" w:rsidP="00861845">
            <w:pPr>
              <w:spacing w:after="240"/>
              <w:rPr>
                <w:rFonts w:eastAsiaTheme="majorEastAsia" w:cstheme="minorHAnsi"/>
                <w:bCs/>
                <w:i/>
                <w:iCs/>
                <w:color w:val="000000" w:themeColor="text1"/>
                <w:sz w:val="24"/>
                <w:szCs w:val="20"/>
              </w:rPr>
            </w:pPr>
            <w:r w:rsidRPr="00861845">
              <w:rPr>
                <w:rFonts w:eastAsiaTheme="majorEastAsia" w:cstheme="minorHAnsi"/>
                <w:bCs/>
                <w:i/>
                <w:iCs/>
                <w:color w:val="FF0000"/>
                <w:sz w:val="24"/>
                <w:szCs w:val="20"/>
              </w:rPr>
              <w:t xml:space="preserve">Elected by the Committee / Appointed by the Chair </w:t>
            </w:r>
          </w:p>
        </w:tc>
      </w:tr>
      <w:tr w:rsidR="00F36594" w:rsidRPr="007A16CB" w14:paraId="2C577A38" w14:textId="77777777" w:rsidTr="008007E0">
        <w:tc>
          <w:tcPr>
            <w:tcW w:w="2405" w:type="dxa"/>
          </w:tcPr>
          <w:p w14:paraId="393B53A4" w14:textId="77777777" w:rsidR="00F36594" w:rsidRPr="007A16CB" w:rsidRDefault="00F36594" w:rsidP="008007E0">
            <w:pPr>
              <w:rPr>
                <w:rFonts w:ascii="Arial" w:eastAsiaTheme="majorEastAsia" w:hAnsi="Arial" w:cs="Arial"/>
                <w:b/>
                <w:bCs/>
                <w:color w:val="054078"/>
                <w:sz w:val="24"/>
                <w:szCs w:val="20"/>
              </w:rPr>
            </w:pPr>
            <w:r w:rsidRPr="007A16CB">
              <w:rPr>
                <w:rFonts w:ascii="Arial" w:eastAsiaTheme="majorEastAsia" w:hAnsi="Arial" w:cs="Arial"/>
                <w:b/>
                <w:bCs/>
                <w:color w:val="054078"/>
                <w:sz w:val="24"/>
                <w:szCs w:val="20"/>
              </w:rPr>
              <w:t>Clerk:</w:t>
            </w:r>
          </w:p>
        </w:tc>
        <w:tc>
          <w:tcPr>
            <w:tcW w:w="8363" w:type="dxa"/>
          </w:tcPr>
          <w:p w14:paraId="34048462" w14:textId="77777777" w:rsidR="00F36594" w:rsidRPr="007A16CB" w:rsidRDefault="00F36594" w:rsidP="008007E0">
            <w:pPr>
              <w:spacing w:afterLines="40" w:after="96"/>
              <w:rPr>
                <w:rFonts w:eastAsiaTheme="majorEastAsia" w:cstheme="minorHAnsi"/>
                <w:bCs/>
                <w:i/>
                <w:iCs/>
                <w:color w:val="000000" w:themeColor="text1"/>
                <w:sz w:val="24"/>
                <w:szCs w:val="20"/>
              </w:rPr>
            </w:pPr>
            <w:r w:rsidRPr="00D71F87">
              <w:rPr>
                <w:rFonts w:eastAsiaTheme="majorEastAsia" w:cstheme="minorHAnsi"/>
                <w:bCs/>
                <w:i/>
                <w:iCs/>
                <w:color w:val="000000" w:themeColor="text1"/>
                <w:sz w:val="24"/>
                <w:szCs w:val="20"/>
              </w:rPr>
              <w:t xml:space="preserve">Arranged by the full governing board </w:t>
            </w:r>
          </w:p>
        </w:tc>
      </w:tr>
      <w:tr w:rsidR="00F36594" w:rsidRPr="007A16CB" w14:paraId="30347E17" w14:textId="77777777" w:rsidTr="008007E0">
        <w:tc>
          <w:tcPr>
            <w:tcW w:w="2405" w:type="dxa"/>
          </w:tcPr>
          <w:p w14:paraId="32F88F49" w14:textId="77777777" w:rsidR="00F36594" w:rsidRPr="007A16CB" w:rsidRDefault="00F36594" w:rsidP="008007E0">
            <w:pPr>
              <w:rPr>
                <w:rFonts w:ascii="Arial" w:eastAsiaTheme="majorEastAsia" w:hAnsi="Arial" w:cs="Arial"/>
                <w:b/>
                <w:bCs/>
                <w:color w:val="054078"/>
                <w:sz w:val="24"/>
                <w:szCs w:val="20"/>
              </w:rPr>
            </w:pPr>
            <w:r w:rsidRPr="007A16CB">
              <w:rPr>
                <w:rFonts w:ascii="Arial" w:eastAsiaTheme="majorEastAsia" w:hAnsi="Arial" w:cs="Arial"/>
                <w:b/>
                <w:bCs/>
                <w:color w:val="054078"/>
                <w:sz w:val="24"/>
                <w:szCs w:val="20"/>
              </w:rPr>
              <w:t>Membership:</w:t>
            </w:r>
          </w:p>
        </w:tc>
        <w:tc>
          <w:tcPr>
            <w:tcW w:w="8363" w:type="dxa"/>
          </w:tcPr>
          <w:p w14:paraId="049DAE4D" w14:textId="77777777" w:rsidR="00F36594" w:rsidRPr="007A16CB" w:rsidRDefault="00F36594" w:rsidP="008007E0">
            <w:pPr>
              <w:spacing w:afterLines="40" w:after="96"/>
              <w:rPr>
                <w:rFonts w:eastAsiaTheme="majorEastAsia" w:cstheme="minorHAnsi"/>
                <w:bCs/>
                <w:i/>
                <w:iCs/>
                <w:color w:val="000000" w:themeColor="text1"/>
                <w:sz w:val="24"/>
                <w:szCs w:val="20"/>
              </w:rPr>
            </w:pPr>
            <w:r w:rsidRPr="007A16CB">
              <w:rPr>
                <w:rFonts w:eastAsiaTheme="minorEastAsia" w:cstheme="minorHAnsi"/>
                <w:i/>
                <w:iCs/>
                <w:color w:val="000000" w:themeColor="text1"/>
                <w:sz w:val="24"/>
                <w:szCs w:val="20"/>
              </w:rPr>
              <w:t>Membership may include associate members but (for voting purposes), a majority of committee members should be governors.</w:t>
            </w:r>
          </w:p>
        </w:tc>
      </w:tr>
      <w:tr w:rsidR="00F36594" w:rsidRPr="007A16CB" w14:paraId="2182D1A4" w14:textId="77777777" w:rsidTr="008007E0">
        <w:tc>
          <w:tcPr>
            <w:tcW w:w="2405" w:type="dxa"/>
          </w:tcPr>
          <w:p w14:paraId="68D60215" w14:textId="77777777" w:rsidR="00F36594" w:rsidRPr="007A16CB" w:rsidRDefault="00F36594" w:rsidP="008007E0">
            <w:pPr>
              <w:rPr>
                <w:rFonts w:ascii="Arial" w:eastAsiaTheme="majorEastAsia" w:hAnsi="Arial" w:cs="Arial"/>
                <w:b/>
                <w:bCs/>
                <w:color w:val="054078"/>
                <w:sz w:val="24"/>
                <w:szCs w:val="20"/>
              </w:rPr>
            </w:pPr>
            <w:r w:rsidRPr="007A16CB">
              <w:rPr>
                <w:rFonts w:ascii="Arial" w:eastAsiaTheme="majorEastAsia" w:hAnsi="Arial" w:cs="Arial"/>
                <w:b/>
                <w:bCs/>
                <w:color w:val="054078"/>
                <w:sz w:val="24"/>
                <w:szCs w:val="20"/>
              </w:rPr>
              <w:t>Quorum:</w:t>
            </w:r>
          </w:p>
        </w:tc>
        <w:tc>
          <w:tcPr>
            <w:tcW w:w="8363" w:type="dxa"/>
          </w:tcPr>
          <w:p w14:paraId="751AD5A3" w14:textId="77777777" w:rsidR="00F36594" w:rsidRPr="007A16CB" w:rsidRDefault="00F36594" w:rsidP="008007E0">
            <w:pPr>
              <w:spacing w:afterLines="40" w:after="96"/>
              <w:rPr>
                <w:rFonts w:eastAsiaTheme="minorEastAsia" w:cstheme="minorHAnsi"/>
                <w:i/>
                <w:iCs/>
                <w:color w:val="000000" w:themeColor="text1"/>
                <w:sz w:val="24"/>
                <w:szCs w:val="20"/>
              </w:rPr>
            </w:pPr>
            <w:r w:rsidRPr="00D71F87">
              <w:rPr>
                <w:rFonts w:eastAsiaTheme="minorEastAsia" w:cstheme="minorHAnsi"/>
                <w:i/>
                <w:iCs/>
                <w:color w:val="000000" w:themeColor="text1"/>
                <w:sz w:val="24"/>
                <w:szCs w:val="20"/>
              </w:rPr>
              <w:t xml:space="preserve">The quorum for the committee shall be a minimum of three governors </w:t>
            </w:r>
            <w:r w:rsidRPr="007A16CB">
              <w:rPr>
                <w:rFonts w:eastAsiaTheme="minorEastAsia" w:cstheme="minorHAnsi"/>
                <w:i/>
                <w:iCs/>
                <w:color w:val="000000" w:themeColor="text1"/>
                <w:sz w:val="24"/>
                <w:szCs w:val="20"/>
              </w:rPr>
              <w:t xml:space="preserve"> </w:t>
            </w:r>
          </w:p>
        </w:tc>
      </w:tr>
      <w:tr w:rsidR="00F36594" w:rsidRPr="007A16CB" w14:paraId="3F8E2831" w14:textId="77777777" w:rsidTr="008007E0">
        <w:tc>
          <w:tcPr>
            <w:tcW w:w="2405" w:type="dxa"/>
          </w:tcPr>
          <w:p w14:paraId="32B14B22" w14:textId="77777777" w:rsidR="00F36594" w:rsidRPr="007A16CB" w:rsidRDefault="00F36594" w:rsidP="008007E0">
            <w:pPr>
              <w:rPr>
                <w:rFonts w:ascii="Arial" w:eastAsiaTheme="majorEastAsia" w:hAnsi="Arial" w:cs="Arial"/>
                <w:b/>
                <w:bCs/>
                <w:color w:val="054078"/>
                <w:sz w:val="24"/>
                <w:szCs w:val="20"/>
              </w:rPr>
            </w:pPr>
            <w:r w:rsidRPr="007A16CB">
              <w:rPr>
                <w:rFonts w:ascii="Arial" w:eastAsiaTheme="majorEastAsia" w:hAnsi="Arial" w:cs="Arial"/>
                <w:b/>
                <w:bCs/>
                <w:color w:val="054078"/>
                <w:sz w:val="24"/>
                <w:szCs w:val="20"/>
              </w:rPr>
              <w:t>Meetings:</w:t>
            </w:r>
          </w:p>
        </w:tc>
        <w:tc>
          <w:tcPr>
            <w:tcW w:w="8363" w:type="dxa"/>
          </w:tcPr>
          <w:p w14:paraId="569C26ED" w14:textId="77777777" w:rsidR="00F36594" w:rsidRPr="007A16CB" w:rsidRDefault="00F36594" w:rsidP="008007E0">
            <w:pPr>
              <w:spacing w:afterLines="40" w:after="96"/>
              <w:rPr>
                <w:rFonts w:eastAsiaTheme="minorEastAsia" w:cstheme="minorHAnsi"/>
                <w:i/>
                <w:iCs/>
                <w:color w:val="000000" w:themeColor="text1"/>
                <w:sz w:val="24"/>
                <w:szCs w:val="20"/>
              </w:rPr>
            </w:pPr>
            <w:r w:rsidRPr="00D71F87">
              <w:rPr>
                <w:rFonts w:eastAsiaTheme="minorEastAsia" w:cstheme="minorHAnsi"/>
                <w:i/>
                <w:iCs/>
                <w:color w:val="000000" w:themeColor="text1"/>
                <w:sz w:val="24"/>
                <w:szCs w:val="20"/>
              </w:rPr>
              <w:t>The committee will meet termly</w:t>
            </w:r>
            <w:r w:rsidRPr="007A16CB">
              <w:rPr>
                <w:rFonts w:eastAsiaTheme="minorEastAsia" w:cstheme="minorHAnsi"/>
                <w:i/>
                <w:iCs/>
                <w:color w:val="000000" w:themeColor="text1"/>
                <w:sz w:val="24"/>
                <w:szCs w:val="20"/>
              </w:rPr>
              <w:t xml:space="preserve"> </w:t>
            </w:r>
          </w:p>
        </w:tc>
      </w:tr>
      <w:tr w:rsidR="00F36594" w:rsidRPr="007A16CB" w14:paraId="782FED25" w14:textId="77777777" w:rsidTr="008007E0">
        <w:tc>
          <w:tcPr>
            <w:tcW w:w="2405" w:type="dxa"/>
          </w:tcPr>
          <w:p w14:paraId="4BA8AE53" w14:textId="77777777" w:rsidR="00F36594" w:rsidRPr="00D71F87" w:rsidRDefault="00F36594" w:rsidP="008007E0">
            <w:pPr>
              <w:rPr>
                <w:rFonts w:ascii="Arial" w:eastAsiaTheme="majorEastAsia" w:hAnsi="Arial" w:cs="Arial"/>
                <w:b/>
                <w:bCs/>
                <w:color w:val="054078"/>
                <w:sz w:val="24"/>
                <w:szCs w:val="20"/>
              </w:rPr>
            </w:pPr>
            <w:r w:rsidRPr="00D71F87">
              <w:rPr>
                <w:rFonts w:ascii="Arial" w:eastAsiaTheme="majorEastAsia" w:hAnsi="Arial" w:cs="Arial"/>
                <w:b/>
                <w:bCs/>
                <w:color w:val="054078"/>
                <w:sz w:val="24"/>
                <w:szCs w:val="20"/>
              </w:rPr>
              <w:t>Minutes:</w:t>
            </w:r>
          </w:p>
        </w:tc>
        <w:tc>
          <w:tcPr>
            <w:tcW w:w="8363" w:type="dxa"/>
          </w:tcPr>
          <w:p w14:paraId="21348DC8" w14:textId="77777777" w:rsidR="00F36594" w:rsidRPr="00D71F87" w:rsidRDefault="00F36594" w:rsidP="008007E0">
            <w:pPr>
              <w:spacing w:afterLines="40" w:after="96"/>
              <w:rPr>
                <w:rFonts w:eastAsiaTheme="minorEastAsia" w:cstheme="minorHAnsi"/>
                <w:i/>
                <w:iCs/>
                <w:sz w:val="24"/>
                <w:szCs w:val="20"/>
              </w:rPr>
            </w:pPr>
            <w:r w:rsidRPr="00D71F87">
              <w:rPr>
                <w:rFonts w:eastAsiaTheme="minorEastAsia" w:cstheme="minorHAnsi"/>
                <w:i/>
                <w:iCs/>
                <w:color w:val="000000" w:themeColor="text1"/>
                <w:sz w:val="24"/>
                <w:szCs w:val="20"/>
              </w:rPr>
              <w:t xml:space="preserve">The minutes will be approved by the </w:t>
            </w:r>
            <w:r w:rsidRPr="00D71F87">
              <w:rPr>
                <w:rFonts w:eastAsiaTheme="minorEastAsia" w:cstheme="minorHAnsi"/>
                <w:i/>
                <w:iCs/>
                <w:color w:val="FF0000"/>
                <w:sz w:val="24"/>
                <w:szCs w:val="20"/>
              </w:rPr>
              <w:t xml:space="preserve">committee/governing board </w:t>
            </w:r>
            <w:r w:rsidRPr="00D71F87">
              <w:rPr>
                <w:rFonts w:eastAsiaTheme="minorEastAsia" w:cstheme="minorHAnsi"/>
                <w:i/>
                <w:iCs/>
                <w:sz w:val="24"/>
                <w:szCs w:val="20"/>
              </w:rPr>
              <w:t xml:space="preserve">at its next meeting </w:t>
            </w:r>
          </w:p>
        </w:tc>
      </w:tr>
    </w:tbl>
    <w:p w14:paraId="61A9AD2F" w14:textId="77777777" w:rsidR="00F36594" w:rsidRDefault="00F36594" w:rsidP="00F36594">
      <w:pPr>
        <w:spacing w:after="0" w:line="240" w:lineRule="auto"/>
        <w:rPr>
          <w:rFonts w:ascii="Arial" w:eastAsia="Times New Roman" w:hAnsi="Arial" w:cs="Times New Roman"/>
          <w:b/>
          <w:kern w:val="0"/>
          <w:sz w:val="24"/>
          <w:szCs w:val="24"/>
          <w:lang w:eastAsia="en-GB"/>
          <w14:ligatures w14:val="none"/>
        </w:rPr>
      </w:pPr>
    </w:p>
    <w:p w14:paraId="68B5DDBF" w14:textId="2C6DC8C1" w:rsidR="00F36594" w:rsidRDefault="00F36594" w:rsidP="00F36594">
      <w:pPr>
        <w:spacing w:after="0" w:line="240" w:lineRule="auto"/>
        <w:rPr>
          <w:rFonts w:ascii="Arial" w:eastAsia="Times New Roman" w:hAnsi="Arial" w:cs="Times New Roman"/>
          <w:b/>
          <w:kern w:val="0"/>
          <w:sz w:val="24"/>
          <w:szCs w:val="24"/>
          <w:lang w:eastAsia="en-GB"/>
          <w14:ligatures w14:val="none"/>
        </w:rPr>
      </w:pPr>
      <w:r>
        <w:rPr>
          <w:rFonts w:ascii="Arial" w:eastAsia="Times New Roman" w:hAnsi="Arial" w:cs="Times New Roman"/>
          <w:b/>
          <w:kern w:val="0"/>
          <w:sz w:val="24"/>
          <w:szCs w:val="24"/>
          <w:lang w:eastAsia="en-GB"/>
          <w14:ligatures w14:val="none"/>
        </w:rPr>
        <w:t>Curriculum</w:t>
      </w:r>
    </w:p>
    <w:p w14:paraId="7ED67CE2" w14:textId="77777777" w:rsidR="00F36594" w:rsidRDefault="00F36594" w:rsidP="00F36594">
      <w:pPr>
        <w:pStyle w:val="MainText"/>
        <w:numPr>
          <w:ilvl w:val="0"/>
          <w:numId w:val="6"/>
        </w:numPr>
        <w:spacing w:before="80" w:after="120"/>
      </w:pPr>
      <w:r>
        <w:t xml:space="preserve">Review the curriculum offer, ensuring that </w:t>
      </w:r>
      <w:hyperlink r:id="rId8" w:history="1">
        <w:r>
          <w:rPr>
            <w:rStyle w:val="Hyperlink"/>
          </w:rPr>
          <w:t>statutory requirements</w:t>
        </w:r>
      </w:hyperlink>
      <w:r>
        <w:t xml:space="preserve"> are met</w:t>
      </w:r>
    </w:p>
    <w:p w14:paraId="06505F79" w14:textId="77777777" w:rsidR="00F36594" w:rsidRDefault="00F36594" w:rsidP="00F36594">
      <w:pPr>
        <w:pStyle w:val="MainText"/>
        <w:numPr>
          <w:ilvl w:val="0"/>
          <w:numId w:val="6"/>
        </w:numPr>
        <w:spacing w:before="80" w:after="120"/>
      </w:pPr>
      <w:r>
        <w:t>Ensure that the curriculum offer reflects the school’s values</w:t>
      </w:r>
    </w:p>
    <w:p w14:paraId="10225405" w14:textId="77777777" w:rsidR="00F36594" w:rsidRDefault="00F36594" w:rsidP="00F36594">
      <w:pPr>
        <w:pStyle w:val="MainText"/>
        <w:numPr>
          <w:ilvl w:val="0"/>
          <w:numId w:val="6"/>
        </w:numPr>
        <w:spacing w:before="80" w:after="120"/>
      </w:pPr>
      <w:r>
        <w:t xml:space="preserve">Ensure that the curriculum meets the needs of </w:t>
      </w:r>
      <w:r>
        <w:rPr>
          <w:rStyle w:val="BoldemphasisChar"/>
        </w:rPr>
        <w:t>all</w:t>
      </w:r>
      <w:r w:rsidRPr="00F36594">
        <w:rPr>
          <w:b/>
          <w:bCs/>
        </w:rPr>
        <w:t xml:space="preserve"> </w:t>
      </w:r>
      <w:r>
        <w:t xml:space="preserve">pupils regardless of ability, age, sex or ethnicity.  </w:t>
      </w:r>
    </w:p>
    <w:p w14:paraId="2396F3B6" w14:textId="77777777" w:rsidR="00F36594" w:rsidRDefault="00F36594" w:rsidP="00F36594">
      <w:pPr>
        <w:pStyle w:val="MainText"/>
        <w:numPr>
          <w:ilvl w:val="0"/>
          <w:numId w:val="6"/>
        </w:numPr>
        <w:spacing w:before="80" w:after="120"/>
      </w:pPr>
      <w:r>
        <w:t>Ensure that the requirements of pupils with special educational needs and disabilities (SEND) are met, as laid out in the Code of Practice.</w:t>
      </w:r>
    </w:p>
    <w:p w14:paraId="739F0C02" w14:textId="77777777" w:rsidR="00F36594" w:rsidRDefault="00F36594" w:rsidP="00F36594">
      <w:pPr>
        <w:pStyle w:val="MainText"/>
        <w:numPr>
          <w:ilvl w:val="0"/>
          <w:numId w:val="6"/>
        </w:numPr>
        <w:spacing w:before="80" w:after="120"/>
      </w:pPr>
      <w:r>
        <w:t>E</w:t>
      </w:r>
      <w:r w:rsidRPr="00F36594">
        <w:t>nsure</w:t>
      </w:r>
      <w:r>
        <w:t xml:space="preserve"> that the curriculum provides opportunities for pupils to become physically confident in a way which supports their health and fitness.</w:t>
      </w:r>
    </w:p>
    <w:p w14:paraId="6DB14ACA" w14:textId="77777777" w:rsidR="00F36594" w:rsidRDefault="00F36594" w:rsidP="00F36594">
      <w:pPr>
        <w:pStyle w:val="MainText"/>
        <w:numPr>
          <w:ilvl w:val="0"/>
          <w:numId w:val="6"/>
        </w:numPr>
        <w:spacing w:before="80" w:after="120"/>
      </w:pPr>
      <w:r>
        <w:t xml:space="preserve">Ensure that </w:t>
      </w:r>
      <w:hyperlink r:id="rId9" w:anchor="curriculum" w:history="1">
        <w:r>
          <w:rPr>
            <w:rStyle w:val="Hyperlink"/>
          </w:rPr>
          <w:t>required information</w:t>
        </w:r>
      </w:hyperlink>
      <w:r>
        <w:t xml:space="preserve"> relating to the school’s curriculum (and </w:t>
      </w:r>
      <w:hyperlink r:id="rId10" w:anchor="careers-programme-information" w:history="1">
        <w:r>
          <w:rPr>
            <w:rStyle w:val="Hyperlink"/>
          </w:rPr>
          <w:t>careers programme</w:t>
        </w:r>
      </w:hyperlink>
      <w:r>
        <w:t xml:space="preserve"> where relevant) is published on the school’s website</w:t>
      </w:r>
    </w:p>
    <w:p w14:paraId="3F5BDA1A" w14:textId="65C38A2F" w:rsidR="00F36594" w:rsidRDefault="00F36594" w:rsidP="00F36594">
      <w:pPr>
        <w:pStyle w:val="MainText"/>
        <w:numPr>
          <w:ilvl w:val="0"/>
          <w:numId w:val="6"/>
        </w:numPr>
        <w:spacing w:before="80" w:after="120"/>
      </w:pPr>
      <w:r>
        <w:t>Monitor and evaluate pupil’s learning in terms of progress and attainment</w:t>
      </w:r>
      <w:r w:rsidR="00476043">
        <w:t>.</w:t>
      </w:r>
    </w:p>
    <w:p w14:paraId="0A919363" w14:textId="6B3257E0" w:rsidR="00F36594" w:rsidRDefault="00F36594" w:rsidP="00F36594">
      <w:pPr>
        <w:pStyle w:val="MainText"/>
        <w:numPr>
          <w:ilvl w:val="0"/>
          <w:numId w:val="6"/>
        </w:numPr>
        <w:spacing w:before="80" w:after="120"/>
      </w:pPr>
      <w:r>
        <w:t>Evaluate the impact of the curriculum in terms of pupils’ preparedness for the next stage of education</w:t>
      </w:r>
      <w:r w:rsidR="00476043">
        <w:t>.</w:t>
      </w:r>
    </w:p>
    <w:p w14:paraId="0FA77B0E" w14:textId="77777777" w:rsidR="00F36594" w:rsidRDefault="00F36594" w:rsidP="00F36594">
      <w:pPr>
        <w:pStyle w:val="MainText"/>
        <w:numPr>
          <w:ilvl w:val="0"/>
          <w:numId w:val="6"/>
        </w:numPr>
        <w:spacing w:before="80" w:after="120"/>
      </w:pPr>
      <w:r>
        <w:t>Monitor and review the progress and attainment of specific groups of pupils including those in receipt of pupil premium funding and pupils with SEND.</w:t>
      </w:r>
    </w:p>
    <w:p w14:paraId="0ADE35FF" w14:textId="77777777" w:rsidR="00F36594" w:rsidRDefault="00F36594" w:rsidP="00F36594">
      <w:pPr>
        <w:pStyle w:val="MainText"/>
        <w:numPr>
          <w:ilvl w:val="0"/>
          <w:numId w:val="6"/>
        </w:numPr>
        <w:spacing w:before="80" w:after="120"/>
      </w:pPr>
      <w:r>
        <w:t xml:space="preserve">Monitor and evaluate the impact of continuing professional development on the quality of teaching. </w:t>
      </w:r>
    </w:p>
    <w:p w14:paraId="59998CEF" w14:textId="77777777" w:rsidR="00F36594" w:rsidRDefault="00F36594" w:rsidP="00F36594">
      <w:pPr>
        <w:pStyle w:val="MainText"/>
        <w:numPr>
          <w:ilvl w:val="0"/>
          <w:numId w:val="6"/>
        </w:numPr>
        <w:spacing w:before="80" w:after="120"/>
      </w:pPr>
      <w:r>
        <w:t>Advise the [</w:t>
      </w:r>
      <w:r w:rsidRPr="00F36594">
        <w:rPr>
          <w:i/>
          <w:iCs/>
        </w:rPr>
        <w:t>finance committee</w:t>
      </w:r>
      <w:r>
        <w:t>] on the funding priorities necessary to deliver the curriculum.</w:t>
      </w:r>
    </w:p>
    <w:p w14:paraId="41AE3172" w14:textId="77777777" w:rsidR="00F36594" w:rsidRDefault="00F36594" w:rsidP="00F36594">
      <w:pPr>
        <w:pStyle w:val="MainText"/>
        <w:numPr>
          <w:ilvl w:val="0"/>
          <w:numId w:val="6"/>
        </w:numPr>
        <w:spacing w:before="80" w:after="120"/>
      </w:pPr>
      <w:r>
        <w:t>Consider recommendations relating to teaching and learning from external reviews of the school (for example, Ofsted or local school improvement advisers), and ensure an appropriate plan is in place to act on any recommendations.</w:t>
      </w:r>
    </w:p>
    <w:p w14:paraId="15C1BC42" w14:textId="52ABA972" w:rsidR="00F36594" w:rsidRDefault="00F36594" w:rsidP="00F36594">
      <w:pPr>
        <w:pStyle w:val="MainText"/>
        <w:numPr>
          <w:ilvl w:val="0"/>
          <w:numId w:val="6"/>
        </w:numPr>
        <w:spacing w:before="80" w:after="120"/>
      </w:pPr>
      <w:r>
        <w:lastRenderedPageBreak/>
        <w:t>R</w:t>
      </w:r>
      <w:r w:rsidRPr="00F36594">
        <w:t xml:space="preserve">eview and </w:t>
      </w:r>
      <w:r>
        <w:t>monitor</w:t>
      </w:r>
      <w:r w:rsidRPr="00F36594">
        <w:t xml:space="preserve"> any policies delegated by the full governing board</w:t>
      </w:r>
    </w:p>
    <w:p w14:paraId="26ACEDE8" w14:textId="586CD11C" w:rsidR="00866AF8" w:rsidRDefault="00866AF8" w:rsidP="00866AF8">
      <w:pPr>
        <w:pStyle w:val="MainText"/>
        <w:spacing w:before="80" w:after="120"/>
        <w:rPr>
          <w:rFonts w:ascii="Arial" w:hAnsi="Arial"/>
          <w:b/>
          <w:bCs/>
        </w:rPr>
      </w:pPr>
      <w:r w:rsidRPr="00866AF8">
        <w:rPr>
          <w:rFonts w:ascii="Arial" w:hAnsi="Arial"/>
          <w:b/>
          <w:bCs/>
        </w:rPr>
        <w:t>Standards</w:t>
      </w:r>
    </w:p>
    <w:p w14:paraId="64E8282C" w14:textId="19C2F6DD" w:rsidR="00866AF8" w:rsidRPr="00203207" w:rsidRDefault="002F4B4D" w:rsidP="00866AF8">
      <w:pPr>
        <w:pStyle w:val="MainText"/>
        <w:numPr>
          <w:ilvl w:val="0"/>
          <w:numId w:val="7"/>
        </w:numPr>
        <w:spacing w:before="80" w:after="120"/>
        <w:rPr>
          <w:rFonts w:ascii="Arial" w:hAnsi="Arial"/>
          <w:b/>
          <w:bCs/>
        </w:rPr>
      </w:pPr>
      <w:r>
        <w:rPr>
          <w:rFonts w:asciiTheme="minorHAnsi" w:hAnsiTheme="minorHAnsi" w:cstheme="minorHAnsi"/>
        </w:rPr>
        <w:t>Monitor data on pupil suspension and exclusion</w:t>
      </w:r>
    </w:p>
    <w:p w14:paraId="59CE5D0C" w14:textId="56ABE1B3" w:rsidR="00203207" w:rsidRPr="00203207" w:rsidRDefault="00203207" w:rsidP="00866AF8">
      <w:pPr>
        <w:pStyle w:val="MainText"/>
        <w:numPr>
          <w:ilvl w:val="0"/>
          <w:numId w:val="7"/>
        </w:numPr>
        <w:spacing w:before="80" w:after="120"/>
        <w:rPr>
          <w:rFonts w:ascii="Arial" w:hAnsi="Arial"/>
          <w:b/>
          <w:bCs/>
        </w:rPr>
      </w:pPr>
      <w:r>
        <w:rPr>
          <w:rFonts w:asciiTheme="minorHAnsi" w:hAnsiTheme="minorHAnsi" w:cstheme="minorHAnsi"/>
        </w:rPr>
        <w:t>Have regard to the view of parents, pupils and staff</w:t>
      </w:r>
    </w:p>
    <w:p w14:paraId="30B6D2B7" w14:textId="3D5C1B48" w:rsidR="00203207" w:rsidRPr="00866AF8" w:rsidRDefault="0019210B" w:rsidP="00866AF8">
      <w:pPr>
        <w:pStyle w:val="MainText"/>
        <w:numPr>
          <w:ilvl w:val="0"/>
          <w:numId w:val="7"/>
        </w:numPr>
        <w:spacing w:before="80" w:after="120"/>
        <w:rPr>
          <w:rFonts w:ascii="Arial" w:hAnsi="Arial"/>
          <w:b/>
          <w:bCs/>
        </w:rPr>
      </w:pPr>
      <w:r>
        <w:rPr>
          <w:rFonts w:asciiTheme="minorHAnsi" w:hAnsiTheme="minorHAnsi" w:cstheme="minorHAnsi"/>
        </w:rPr>
        <w:t xml:space="preserve">Monitor attendance </w:t>
      </w:r>
      <w:r w:rsidR="00DE640E">
        <w:rPr>
          <w:rFonts w:asciiTheme="minorHAnsi" w:hAnsiTheme="minorHAnsi" w:cstheme="minorHAnsi"/>
        </w:rPr>
        <w:t xml:space="preserve">including </w:t>
      </w:r>
      <w:r w:rsidR="00371C12">
        <w:rPr>
          <w:rFonts w:asciiTheme="minorHAnsi" w:hAnsiTheme="minorHAnsi" w:cstheme="minorHAnsi"/>
        </w:rPr>
        <w:t xml:space="preserve">severe and </w:t>
      </w:r>
      <w:r w:rsidR="00DE640E">
        <w:rPr>
          <w:rFonts w:asciiTheme="minorHAnsi" w:hAnsiTheme="minorHAnsi" w:cstheme="minorHAnsi"/>
        </w:rPr>
        <w:t xml:space="preserve">persistent absence and receive updates on any actions being taken </w:t>
      </w:r>
    </w:p>
    <w:p w14:paraId="3FF41735" w14:textId="77777777" w:rsidR="00866AF8" w:rsidRPr="00F36594" w:rsidRDefault="00866AF8" w:rsidP="00866AF8">
      <w:pPr>
        <w:pStyle w:val="MainText"/>
        <w:spacing w:before="80" w:after="120"/>
      </w:pPr>
    </w:p>
    <w:tbl>
      <w:tblPr>
        <w:tblStyle w:val="TableGrid"/>
        <w:tblW w:w="9356" w:type="dxa"/>
        <w:tblInd w:w="-5" w:type="dxa"/>
        <w:tblLook w:val="04A0" w:firstRow="1" w:lastRow="0" w:firstColumn="1" w:lastColumn="0" w:noHBand="0" w:noVBand="1"/>
      </w:tblPr>
      <w:tblGrid>
        <w:gridCol w:w="9356"/>
      </w:tblGrid>
      <w:tr w:rsidR="00F36594" w14:paraId="6B66CDEC" w14:textId="77777777" w:rsidTr="00F36594">
        <w:tc>
          <w:tcPr>
            <w:tcW w:w="9356" w:type="dxa"/>
          </w:tcPr>
          <w:p w14:paraId="456C6B8D" w14:textId="77777777" w:rsidR="00F36594" w:rsidRPr="003F5FDE" w:rsidRDefault="00F36594" w:rsidP="008007E0">
            <w:pPr>
              <w:spacing w:line="360" w:lineRule="auto"/>
              <w:rPr>
                <w:rFonts w:ascii="Arial" w:eastAsia="Times New Roman" w:hAnsi="Arial" w:cs="Arial"/>
                <w:b/>
                <w:bCs/>
                <w:sz w:val="24"/>
                <w:szCs w:val="24"/>
                <w:lang w:eastAsia="en-GB"/>
              </w:rPr>
            </w:pPr>
            <w:r w:rsidRPr="003F5FDE">
              <w:rPr>
                <w:rFonts w:ascii="Arial" w:eastAsia="Times New Roman" w:hAnsi="Arial" w:cs="Arial"/>
                <w:b/>
                <w:bCs/>
                <w:sz w:val="24"/>
                <w:szCs w:val="24"/>
                <w:lang w:eastAsia="en-GB"/>
              </w:rPr>
              <w:t xml:space="preserve">Delegated policies </w:t>
            </w:r>
          </w:p>
        </w:tc>
      </w:tr>
      <w:tr w:rsidR="00F36594" w:rsidRPr="003F5FDE" w14:paraId="7EBF932C" w14:textId="77777777" w:rsidTr="00F36594">
        <w:tc>
          <w:tcPr>
            <w:tcW w:w="9356" w:type="dxa"/>
          </w:tcPr>
          <w:p w14:paraId="61F6BE6F" w14:textId="5753B4E1" w:rsidR="00F36594" w:rsidRDefault="00F36594" w:rsidP="00F36594">
            <w:pPr>
              <w:rPr>
                <w:rFonts w:eastAsia="Times New Roman" w:cstheme="minorHAnsi"/>
                <w:i/>
                <w:iCs/>
                <w:sz w:val="24"/>
                <w:szCs w:val="24"/>
                <w:lang w:eastAsia="en-GB"/>
              </w:rPr>
            </w:pPr>
            <w:r w:rsidRPr="003F5FDE">
              <w:rPr>
                <w:rFonts w:eastAsia="Times New Roman" w:cstheme="minorHAnsi"/>
                <w:i/>
                <w:iCs/>
                <w:sz w:val="24"/>
                <w:szCs w:val="24"/>
                <w:lang w:eastAsia="en-GB"/>
              </w:rPr>
              <w:t xml:space="preserve">Policies (that maybe delegated to the </w:t>
            </w:r>
            <w:r>
              <w:rPr>
                <w:rFonts w:eastAsia="Times New Roman" w:cstheme="minorHAnsi"/>
                <w:i/>
                <w:iCs/>
                <w:sz w:val="24"/>
                <w:szCs w:val="24"/>
                <w:lang w:eastAsia="en-GB"/>
              </w:rPr>
              <w:t>standards and effectiveness</w:t>
            </w:r>
            <w:r w:rsidRPr="003F5FDE">
              <w:rPr>
                <w:rFonts w:eastAsia="Times New Roman" w:cstheme="minorHAnsi"/>
                <w:i/>
                <w:iCs/>
                <w:sz w:val="24"/>
                <w:szCs w:val="24"/>
                <w:lang w:eastAsia="en-GB"/>
              </w:rPr>
              <w:t xml:space="preserve"> committee to review</w:t>
            </w:r>
            <w:r w:rsidR="00B4246F">
              <w:rPr>
                <w:rFonts w:eastAsia="Times New Roman" w:cstheme="minorHAnsi"/>
                <w:i/>
                <w:iCs/>
                <w:sz w:val="24"/>
                <w:szCs w:val="24"/>
                <w:lang w:eastAsia="en-GB"/>
              </w:rPr>
              <w:t xml:space="preserve"> and approve</w:t>
            </w:r>
            <w:r w:rsidRPr="003F5FDE">
              <w:rPr>
                <w:rFonts w:eastAsia="Times New Roman" w:cstheme="minorHAnsi"/>
                <w:i/>
                <w:iCs/>
                <w:sz w:val="24"/>
                <w:szCs w:val="24"/>
                <w:lang w:eastAsia="en-GB"/>
              </w:rPr>
              <w:t>) include:</w:t>
            </w:r>
          </w:p>
          <w:p w14:paraId="51F49126" w14:textId="36B118B9" w:rsidR="00F36594" w:rsidRDefault="00F36594" w:rsidP="008007E0">
            <w:pPr>
              <w:pStyle w:val="ListParagraph"/>
              <w:ind w:left="306"/>
              <w:rPr>
                <w:rFonts w:eastAsia="Times New Roman" w:cstheme="minorHAnsi"/>
                <w:sz w:val="24"/>
                <w:szCs w:val="24"/>
                <w:lang w:eastAsia="en-GB"/>
              </w:rPr>
            </w:pPr>
            <w:r>
              <w:rPr>
                <w:rFonts w:eastAsia="Times New Roman" w:cstheme="minorHAnsi"/>
                <w:sz w:val="24"/>
                <w:szCs w:val="24"/>
                <w:lang w:eastAsia="en-GB"/>
              </w:rPr>
              <w:t xml:space="preserve">Relationships Education and RSE Policy (should be published on the school website </w:t>
            </w:r>
          </w:p>
          <w:p w14:paraId="2E713D11" w14:textId="6D017D61" w:rsidR="00F36594" w:rsidRDefault="00F36594" w:rsidP="008007E0">
            <w:pPr>
              <w:pStyle w:val="ListParagraph"/>
              <w:ind w:left="306"/>
              <w:rPr>
                <w:rFonts w:eastAsia="Times New Roman" w:cstheme="minorHAnsi"/>
                <w:sz w:val="24"/>
                <w:szCs w:val="24"/>
                <w:lang w:eastAsia="en-GB"/>
              </w:rPr>
            </w:pPr>
            <w:r>
              <w:rPr>
                <w:rFonts w:eastAsia="Times New Roman" w:cstheme="minorHAnsi"/>
                <w:sz w:val="24"/>
                <w:szCs w:val="24"/>
                <w:lang w:eastAsia="en-GB"/>
              </w:rPr>
              <w:t>Early Years Foundation Stage (EYFS)</w:t>
            </w:r>
          </w:p>
          <w:p w14:paraId="49407BFC" w14:textId="4FC45731" w:rsidR="00F36594" w:rsidRDefault="00F36594" w:rsidP="008007E0">
            <w:pPr>
              <w:pStyle w:val="ListParagraph"/>
              <w:ind w:left="306"/>
              <w:rPr>
                <w:rFonts w:eastAsia="Times New Roman" w:cstheme="minorHAnsi"/>
                <w:sz w:val="24"/>
                <w:szCs w:val="24"/>
                <w:lang w:eastAsia="en-GB"/>
              </w:rPr>
            </w:pPr>
            <w:r>
              <w:rPr>
                <w:rFonts w:eastAsia="Times New Roman" w:cstheme="minorHAnsi"/>
                <w:sz w:val="24"/>
                <w:szCs w:val="24"/>
                <w:lang w:eastAsia="en-GB"/>
              </w:rPr>
              <w:t xml:space="preserve">Equality information and objectives (public sector equality duty) statement for publication </w:t>
            </w:r>
          </w:p>
          <w:p w14:paraId="49E13EF9" w14:textId="3C1AD029" w:rsidR="00F36594" w:rsidRDefault="00F36594" w:rsidP="008007E0">
            <w:pPr>
              <w:pStyle w:val="ListParagraph"/>
              <w:ind w:left="306"/>
              <w:rPr>
                <w:rFonts w:eastAsia="Times New Roman" w:cstheme="minorHAnsi"/>
                <w:sz w:val="24"/>
                <w:szCs w:val="24"/>
                <w:lang w:eastAsia="en-GB"/>
              </w:rPr>
            </w:pPr>
            <w:r>
              <w:rPr>
                <w:rFonts w:eastAsia="Times New Roman" w:cstheme="minorHAnsi"/>
                <w:sz w:val="24"/>
                <w:szCs w:val="24"/>
                <w:lang w:eastAsia="en-GB"/>
              </w:rPr>
              <w:t xml:space="preserve">Accessibility Plan </w:t>
            </w:r>
          </w:p>
          <w:p w14:paraId="64DC13DE" w14:textId="0A4BB2B6" w:rsidR="00F36594" w:rsidRDefault="00C45511" w:rsidP="008007E0">
            <w:pPr>
              <w:pStyle w:val="ListParagraph"/>
              <w:ind w:left="306"/>
              <w:rPr>
                <w:rFonts w:eastAsia="Times New Roman" w:cstheme="minorHAnsi"/>
                <w:sz w:val="24"/>
                <w:szCs w:val="24"/>
                <w:lang w:eastAsia="en-GB"/>
              </w:rPr>
            </w:pPr>
            <w:r>
              <w:rPr>
                <w:rFonts w:eastAsia="Times New Roman" w:cstheme="minorHAnsi"/>
                <w:sz w:val="24"/>
                <w:szCs w:val="24"/>
                <w:lang w:eastAsia="en-GB"/>
              </w:rPr>
              <w:t>Freedom of Information</w:t>
            </w:r>
          </w:p>
          <w:p w14:paraId="6A24EEEF" w14:textId="4FE4CB92" w:rsidR="00A73292" w:rsidRDefault="00A73292" w:rsidP="008007E0">
            <w:pPr>
              <w:pStyle w:val="ListParagraph"/>
              <w:ind w:left="306"/>
              <w:rPr>
                <w:rFonts w:eastAsia="Times New Roman" w:cstheme="minorHAnsi"/>
                <w:sz w:val="24"/>
                <w:szCs w:val="24"/>
                <w:lang w:eastAsia="en-GB"/>
              </w:rPr>
            </w:pPr>
            <w:r>
              <w:rPr>
                <w:rFonts w:eastAsia="Times New Roman" w:cstheme="minorHAnsi"/>
                <w:sz w:val="24"/>
                <w:szCs w:val="24"/>
                <w:lang w:eastAsia="en-GB"/>
              </w:rPr>
              <w:t xml:space="preserve">Supporting pupils with medical conditions </w:t>
            </w:r>
          </w:p>
          <w:p w14:paraId="17934625" w14:textId="20F66916" w:rsidR="0081684F" w:rsidRDefault="0081684F" w:rsidP="008007E0">
            <w:pPr>
              <w:pStyle w:val="ListParagraph"/>
              <w:ind w:left="306"/>
              <w:rPr>
                <w:rFonts w:eastAsia="Times New Roman" w:cstheme="minorHAnsi"/>
                <w:sz w:val="24"/>
                <w:szCs w:val="24"/>
                <w:lang w:eastAsia="en-GB"/>
              </w:rPr>
            </w:pPr>
            <w:r>
              <w:rPr>
                <w:rFonts w:eastAsia="Times New Roman" w:cstheme="minorHAnsi"/>
                <w:sz w:val="24"/>
                <w:szCs w:val="24"/>
                <w:lang w:eastAsia="en-GB"/>
              </w:rPr>
              <w:t xml:space="preserve">Attendance </w:t>
            </w:r>
          </w:p>
          <w:p w14:paraId="4930B585" w14:textId="7ED0C94E" w:rsidR="00B4246F" w:rsidRDefault="00B4246F" w:rsidP="008007E0">
            <w:pPr>
              <w:pStyle w:val="ListParagraph"/>
              <w:ind w:left="306"/>
              <w:rPr>
                <w:rFonts w:eastAsia="Times New Roman" w:cstheme="minorHAnsi"/>
                <w:sz w:val="24"/>
                <w:szCs w:val="24"/>
                <w:lang w:eastAsia="en-GB"/>
              </w:rPr>
            </w:pPr>
            <w:r>
              <w:rPr>
                <w:rFonts w:eastAsia="Times New Roman" w:cstheme="minorHAnsi"/>
                <w:sz w:val="24"/>
                <w:szCs w:val="24"/>
                <w:lang w:eastAsia="en-GB"/>
              </w:rPr>
              <w:t>School Exclusions</w:t>
            </w:r>
          </w:p>
          <w:p w14:paraId="6139BAC9" w14:textId="77777777" w:rsidR="00F36594" w:rsidRPr="003F5FDE" w:rsidRDefault="00F36594" w:rsidP="008007E0">
            <w:pPr>
              <w:pStyle w:val="ListParagraph"/>
              <w:ind w:left="306"/>
              <w:rPr>
                <w:rFonts w:eastAsia="Times New Roman" w:cstheme="minorHAnsi"/>
                <w:i/>
                <w:iCs/>
                <w:sz w:val="24"/>
                <w:szCs w:val="24"/>
                <w:lang w:eastAsia="en-GB"/>
              </w:rPr>
            </w:pPr>
          </w:p>
        </w:tc>
      </w:tr>
    </w:tbl>
    <w:p w14:paraId="167DFD3E" w14:textId="77777777" w:rsidR="00F36594" w:rsidRPr="003F5FDE" w:rsidRDefault="00F36594" w:rsidP="00F36594">
      <w:pPr>
        <w:spacing w:after="0" w:line="360" w:lineRule="auto"/>
        <w:rPr>
          <w:rFonts w:eastAsia="Times New Roman" w:cstheme="minorHAnsi"/>
          <w:kern w:val="0"/>
          <w:sz w:val="24"/>
          <w:szCs w:val="24"/>
          <w:lang w:eastAsia="en-GB"/>
          <w14:ligatures w14:val="none"/>
        </w:rPr>
      </w:pPr>
    </w:p>
    <w:p w14:paraId="7A68E98B" w14:textId="77777777" w:rsidR="00F36594" w:rsidRDefault="00F36594" w:rsidP="00F36594">
      <w:pPr>
        <w:spacing w:line="360" w:lineRule="auto"/>
        <w:rPr>
          <w:rFonts w:ascii="Arial" w:hAnsi="Arial" w:cs="Arial"/>
          <w:b/>
          <w:bCs/>
          <w:sz w:val="24"/>
          <w:szCs w:val="24"/>
        </w:rPr>
      </w:pPr>
    </w:p>
    <w:p w14:paraId="25D47847" w14:textId="77777777" w:rsidR="00F36594" w:rsidRDefault="00F36594" w:rsidP="00F36594">
      <w:pPr>
        <w:spacing w:line="360" w:lineRule="auto"/>
        <w:rPr>
          <w:rFonts w:ascii="Arial" w:hAnsi="Arial" w:cs="Arial"/>
          <w:b/>
          <w:bCs/>
          <w:sz w:val="24"/>
          <w:szCs w:val="24"/>
        </w:rPr>
      </w:pPr>
    </w:p>
    <w:p w14:paraId="6316FC28" w14:textId="77777777" w:rsidR="00F36594" w:rsidRPr="0048545C" w:rsidRDefault="00F36594" w:rsidP="00F36594">
      <w:pPr>
        <w:spacing w:line="360" w:lineRule="auto"/>
        <w:rPr>
          <w:rFonts w:ascii="Arial" w:hAnsi="Arial" w:cs="Arial"/>
          <w:b/>
          <w:bCs/>
          <w:sz w:val="24"/>
          <w:szCs w:val="24"/>
        </w:rPr>
      </w:pPr>
    </w:p>
    <w:p w14:paraId="7ADB117C" w14:textId="77777777" w:rsidR="008A3D72" w:rsidRDefault="008A3D72"/>
    <w:sectPr w:rsidR="008A3D72" w:rsidSect="004052C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D3B6E" w14:textId="77777777" w:rsidR="00B25343" w:rsidRDefault="00B25343">
      <w:pPr>
        <w:spacing w:after="0" w:line="240" w:lineRule="auto"/>
      </w:pPr>
      <w:r>
        <w:separator/>
      </w:r>
    </w:p>
  </w:endnote>
  <w:endnote w:type="continuationSeparator" w:id="0">
    <w:p w14:paraId="242EBB40" w14:textId="77777777" w:rsidR="00B25343" w:rsidRDefault="00B2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680142"/>
      <w:docPartObj>
        <w:docPartGallery w:val="Page Numbers (Bottom of Page)"/>
        <w:docPartUnique/>
      </w:docPartObj>
    </w:sdtPr>
    <w:sdtEndPr>
      <w:rPr>
        <w:noProof/>
      </w:rPr>
    </w:sdtEndPr>
    <w:sdtContent>
      <w:p w14:paraId="2CB047D7" w14:textId="77777777" w:rsidR="00B4246F" w:rsidRDefault="00C455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C0DC0D" w14:textId="77777777" w:rsidR="00B4246F" w:rsidRDefault="00B42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4B77" w14:textId="77777777" w:rsidR="00B25343" w:rsidRDefault="00B25343">
      <w:pPr>
        <w:spacing w:after="0" w:line="240" w:lineRule="auto"/>
      </w:pPr>
      <w:r>
        <w:separator/>
      </w:r>
    </w:p>
  </w:footnote>
  <w:footnote w:type="continuationSeparator" w:id="0">
    <w:p w14:paraId="7336EE00" w14:textId="77777777" w:rsidR="00B25343" w:rsidRDefault="00B25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B65EE"/>
    <w:multiLevelType w:val="hybridMultilevel"/>
    <w:tmpl w:val="C934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3" w15:restartNumberingAfterBreak="0">
    <w:nsid w:val="53B923AA"/>
    <w:multiLevelType w:val="hybridMultilevel"/>
    <w:tmpl w:val="29B8D9D4"/>
    <w:lvl w:ilvl="0" w:tplc="AD566A8C">
      <w:start w:val="1"/>
      <w:numFmt w:val="decimal"/>
      <w:lvlText w:val="%1."/>
      <w:lvlJc w:val="left"/>
      <w:pPr>
        <w:ind w:left="1080" w:hanging="360"/>
      </w:pPr>
      <w:rPr>
        <w:rFonts w:ascii="Calibri" w:hAnsi="Calibri" w:cs="Times New Roman" w:hint="default"/>
        <w:b w:val="0"/>
        <w:i w:val="0"/>
        <w:color w:val="0563C1"/>
        <w:sz w:val="24"/>
        <w:szCs w:val="16"/>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585F0FCC"/>
    <w:multiLevelType w:val="hybridMultilevel"/>
    <w:tmpl w:val="8FB6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6C572E"/>
    <w:multiLevelType w:val="hybridMultilevel"/>
    <w:tmpl w:val="7062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3680">
    <w:abstractNumId w:val="0"/>
  </w:num>
  <w:num w:numId="2" w16cid:durableId="489298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8808796">
    <w:abstractNumId w:val="1"/>
  </w:num>
  <w:num w:numId="4" w16cid:durableId="1741782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3861932">
    <w:abstractNumId w:val="2"/>
  </w:num>
  <w:num w:numId="6" w16cid:durableId="1340541928">
    <w:abstractNumId w:val="5"/>
  </w:num>
  <w:num w:numId="7" w16cid:durableId="1204899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94"/>
    <w:rsid w:val="00060DBA"/>
    <w:rsid w:val="0019210B"/>
    <w:rsid w:val="00203207"/>
    <w:rsid w:val="002948E0"/>
    <w:rsid w:val="002F4B4D"/>
    <w:rsid w:val="00371C12"/>
    <w:rsid w:val="00476043"/>
    <w:rsid w:val="0081684F"/>
    <w:rsid w:val="00861845"/>
    <w:rsid w:val="00866AF8"/>
    <w:rsid w:val="008A3D72"/>
    <w:rsid w:val="008B1AA9"/>
    <w:rsid w:val="009C4929"/>
    <w:rsid w:val="00A73292"/>
    <w:rsid w:val="00B25343"/>
    <w:rsid w:val="00B4246F"/>
    <w:rsid w:val="00C45511"/>
    <w:rsid w:val="00DE640E"/>
    <w:rsid w:val="00E94B12"/>
    <w:rsid w:val="00F365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32C7"/>
  <w15:chartTrackingRefBased/>
  <w15:docId w15:val="{C1D4444B-3000-4B09-98B2-F93C8EF1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65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6594"/>
    <w:pPr>
      <w:ind w:left="720"/>
      <w:contextualSpacing/>
    </w:pPr>
  </w:style>
  <w:style w:type="character" w:styleId="Hyperlink">
    <w:name w:val="Hyperlink"/>
    <w:basedOn w:val="DefaultParagraphFont"/>
    <w:uiPriority w:val="99"/>
    <w:unhideWhenUsed/>
    <w:rsid w:val="00F36594"/>
    <w:rPr>
      <w:color w:val="0563C1" w:themeColor="hyperlink"/>
      <w:u w:val="single"/>
    </w:rPr>
  </w:style>
  <w:style w:type="paragraph" w:styleId="Footer">
    <w:name w:val="footer"/>
    <w:basedOn w:val="Normal"/>
    <w:link w:val="FooterChar"/>
    <w:uiPriority w:val="99"/>
    <w:unhideWhenUsed/>
    <w:rsid w:val="00F36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594"/>
  </w:style>
  <w:style w:type="paragraph" w:customStyle="1" w:styleId="Bullettext">
    <w:name w:val="Bullet text"/>
    <w:basedOn w:val="Normal"/>
    <w:next w:val="Normal"/>
    <w:qFormat/>
    <w:rsid w:val="00F36594"/>
    <w:pPr>
      <w:numPr>
        <w:numId w:val="3"/>
      </w:numPr>
      <w:spacing w:before="160" w:line="240" w:lineRule="auto"/>
    </w:pPr>
    <w:rPr>
      <w:rFonts w:ascii="Calibri" w:eastAsiaTheme="minorEastAsia" w:hAnsi="Calibri" w:cs="Arial"/>
      <w:color w:val="000000" w:themeColor="text1"/>
      <w:kern w:val="0"/>
      <w:sz w:val="24"/>
      <w:szCs w:val="20"/>
      <w14:ligatures w14:val="none"/>
    </w:rPr>
  </w:style>
  <w:style w:type="character" w:customStyle="1" w:styleId="MainTextChar">
    <w:name w:val="Main Text Char"/>
    <w:basedOn w:val="DefaultParagraphFont"/>
    <w:link w:val="MainText"/>
    <w:locked/>
    <w:rsid w:val="00F36594"/>
    <w:rPr>
      <w:rFonts w:ascii="Calibri" w:eastAsiaTheme="minorEastAsia" w:hAnsi="Calibri" w:cs="Arial"/>
      <w:color w:val="000000" w:themeColor="text1"/>
      <w:sz w:val="24"/>
      <w:szCs w:val="20"/>
    </w:rPr>
  </w:style>
  <w:style w:type="paragraph" w:customStyle="1" w:styleId="MainText">
    <w:name w:val="Main Text"/>
    <w:basedOn w:val="Normal"/>
    <w:link w:val="MainTextChar"/>
    <w:qFormat/>
    <w:rsid w:val="00F36594"/>
    <w:pPr>
      <w:spacing w:after="240" w:line="240" w:lineRule="auto"/>
    </w:pPr>
    <w:rPr>
      <w:rFonts w:ascii="Calibri" w:eastAsiaTheme="minorEastAsia" w:hAnsi="Calibri" w:cs="Arial"/>
      <w:color w:val="000000" w:themeColor="text1"/>
      <w:sz w:val="24"/>
      <w:szCs w:val="20"/>
    </w:rPr>
  </w:style>
  <w:style w:type="character" w:customStyle="1" w:styleId="BoldemphasisChar">
    <w:name w:val="Bold emphasis Char"/>
    <w:basedOn w:val="MainTextChar"/>
    <w:link w:val="Boldemphasis"/>
    <w:locked/>
    <w:rsid w:val="00F36594"/>
    <w:rPr>
      <w:rFonts w:ascii="Calibri" w:eastAsiaTheme="minorEastAsia" w:hAnsi="Calibri" w:cstheme="majorHAnsi"/>
      <w:b/>
      <w:bCs/>
      <w:color w:val="054078"/>
      <w:sz w:val="24"/>
      <w:szCs w:val="20"/>
    </w:rPr>
  </w:style>
  <w:style w:type="paragraph" w:customStyle="1" w:styleId="Boldemphasis">
    <w:name w:val="Bold emphasis"/>
    <w:basedOn w:val="MainText"/>
    <w:link w:val="BoldemphasisChar"/>
    <w:qFormat/>
    <w:rsid w:val="00F36594"/>
    <w:rPr>
      <w:rFonts w:cstheme="majorHAnsi"/>
      <w:b/>
      <w:bCs/>
      <w:color w:val="054078"/>
    </w:rPr>
  </w:style>
  <w:style w:type="character" w:styleId="FollowedHyperlink">
    <w:name w:val="FollowedHyperlink"/>
    <w:basedOn w:val="DefaultParagraphFont"/>
    <w:uiPriority w:val="99"/>
    <w:semiHidden/>
    <w:unhideWhenUsed/>
    <w:rsid w:val="00F365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74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national-curriculu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uidance/what-maintained-schools-must-publish-online" TargetMode="External"/><Relationship Id="rId4" Type="http://schemas.openxmlformats.org/officeDocument/2006/relationships/webSettings" Target="webSettings.xml"/><Relationship Id="rId9" Type="http://schemas.openxmlformats.org/officeDocument/2006/relationships/hyperlink" Target="https://www.gov.uk/guidance/what-maintained-schools-must-publish-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 Melanie</dc:creator>
  <cp:keywords/>
  <dc:description/>
  <cp:lastModifiedBy>Jones, Jade</cp:lastModifiedBy>
  <cp:revision>15</cp:revision>
  <dcterms:created xsi:type="dcterms:W3CDTF">2023-06-15T16:47:00Z</dcterms:created>
  <dcterms:modified xsi:type="dcterms:W3CDTF">2024-01-08T12:50:00Z</dcterms:modified>
</cp:coreProperties>
</file>