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14" w:rsidRPr="00F86238" w:rsidRDefault="00662957" w:rsidP="00FC3114">
      <w:pPr>
        <w:rPr>
          <w:b/>
          <w:sz w:val="40"/>
          <w:szCs w:val="24"/>
        </w:rPr>
      </w:pPr>
      <w:bookmarkStart w:id="0" w:name="_GoBack"/>
      <w:bookmarkEnd w:id="0"/>
      <w:r>
        <w:rPr>
          <w:b/>
          <w:sz w:val="40"/>
          <w:szCs w:val="24"/>
        </w:rPr>
        <w:t xml:space="preserve"> P.E. and </w:t>
      </w:r>
      <w:r w:rsidR="00FC3114">
        <w:rPr>
          <w:b/>
          <w:sz w:val="40"/>
          <w:szCs w:val="24"/>
        </w:rPr>
        <w:t xml:space="preserve">Sports </w:t>
      </w:r>
      <w:r w:rsidR="00170BB9">
        <w:rPr>
          <w:b/>
          <w:sz w:val="40"/>
          <w:szCs w:val="24"/>
        </w:rPr>
        <w:t>Funding Academic</w:t>
      </w:r>
      <w:r w:rsidR="00FC3114">
        <w:rPr>
          <w:b/>
          <w:sz w:val="40"/>
          <w:szCs w:val="24"/>
        </w:rPr>
        <w:t xml:space="preserve"> Year 2017 - 2018</w:t>
      </w:r>
    </w:p>
    <w:p w:rsidR="00FC3114" w:rsidRDefault="00FC3114" w:rsidP="00FC3114">
      <w:pPr>
        <w:pStyle w:val="NormalWeb"/>
        <w:rPr>
          <w:rFonts w:asciiTheme="minorHAnsi" w:hAnsiTheme="minorHAnsi" w:cstheme="minorHAnsi"/>
        </w:rPr>
      </w:pPr>
      <w:r>
        <w:rPr>
          <w:rFonts w:asciiTheme="minorHAnsi" w:hAnsiTheme="minorHAnsi" w:cstheme="minorHAnsi"/>
        </w:rPr>
        <w:t>Our allocated for 2016/17 was £8898, this amount to be increase but to date we have not had the amount confirmed.  The</w:t>
      </w:r>
      <w:r w:rsidRPr="004774B1">
        <w:rPr>
          <w:rFonts w:asciiTheme="minorHAnsi" w:hAnsiTheme="minorHAnsi" w:cstheme="minorHAnsi"/>
        </w:rPr>
        <w:t xml:space="preserve"> sports premium money will allow us to further strengthen the quality of our PE lessons and also widen the opportunities available to children in lessons and at play times and encourage them to lead healthy lifestyles. </w:t>
      </w:r>
    </w:p>
    <w:p w:rsidR="00FC3114" w:rsidRDefault="00FC3114" w:rsidP="00FC3114">
      <w:pPr>
        <w:rPr>
          <w:sz w:val="24"/>
          <w:szCs w:val="24"/>
        </w:rPr>
      </w:pPr>
    </w:p>
    <w:p w:rsidR="00FC3114" w:rsidRPr="0036530F" w:rsidRDefault="00FC3114" w:rsidP="00FC3114">
      <w:pPr>
        <w:pStyle w:val="NormalWeb"/>
        <w:rPr>
          <w:rFonts w:asciiTheme="minorHAnsi" w:hAnsiTheme="minorHAnsi" w:cstheme="minorHAnsi"/>
          <w:b/>
          <w:sz w:val="36"/>
          <w:u w:val="single"/>
        </w:rPr>
      </w:pPr>
      <w:r w:rsidRPr="00F86238">
        <w:rPr>
          <w:rFonts w:asciiTheme="minorHAnsi" w:hAnsiTheme="minorHAnsi" w:cstheme="minorHAnsi"/>
          <w:b/>
          <w:sz w:val="36"/>
          <w:u w:val="single"/>
        </w:rPr>
        <w:t xml:space="preserve">How we are planning to spend the funding in </w:t>
      </w:r>
      <w:r>
        <w:rPr>
          <w:rFonts w:asciiTheme="minorHAnsi" w:hAnsiTheme="minorHAnsi" w:cstheme="minorHAnsi"/>
          <w:b/>
          <w:sz w:val="36"/>
          <w:u w:val="single"/>
        </w:rPr>
        <w:t>2017/2018</w:t>
      </w:r>
      <w:r w:rsidRPr="00F86238">
        <w:rPr>
          <w:rFonts w:asciiTheme="minorHAnsi" w:hAnsiTheme="minorHAnsi" w:cstheme="minorHAnsi"/>
          <w:b/>
          <w:sz w:val="36"/>
          <w:u w:val="single"/>
        </w:rPr>
        <w:t xml:space="preserve"> </w:t>
      </w:r>
    </w:p>
    <w:tbl>
      <w:tblPr>
        <w:tblStyle w:val="TableGrid"/>
        <w:tblpPr w:leftFromText="180" w:rightFromText="180" w:vertAnchor="text" w:horzAnchor="margin" w:tblpY="225"/>
        <w:tblW w:w="5000" w:type="pct"/>
        <w:tblLook w:val="04A0" w:firstRow="1" w:lastRow="0" w:firstColumn="1" w:lastColumn="0" w:noHBand="0" w:noVBand="1"/>
      </w:tblPr>
      <w:tblGrid>
        <w:gridCol w:w="5381"/>
        <w:gridCol w:w="5381"/>
      </w:tblGrid>
      <w:tr w:rsidR="00FC3114" w:rsidRPr="004774B1" w:rsidTr="00A956E5">
        <w:tc>
          <w:tcPr>
            <w:tcW w:w="2500" w:type="pct"/>
          </w:tcPr>
          <w:p w:rsidR="00FC3114" w:rsidRPr="004774B1" w:rsidRDefault="00FC3114" w:rsidP="00A956E5">
            <w:pPr>
              <w:jc w:val="center"/>
              <w:rPr>
                <w:b/>
                <w:sz w:val="24"/>
                <w:szCs w:val="24"/>
              </w:rPr>
            </w:pPr>
            <w:r w:rsidRPr="004774B1">
              <w:rPr>
                <w:b/>
                <w:sz w:val="24"/>
                <w:szCs w:val="24"/>
              </w:rPr>
              <w:t>Sports Premium Funding Focus</w:t>
            </w:r>
            <w:r>
              <w:rPr>
                <w:b/>
                <w:sz w:val="24"/>
                <w:szCs w:val="24"/>
              </w:rPr>
              <w:t xml:space="preserve"> 2017/2018</w:t>
            </w:r>
          </w:p>
        </w:tc>
        <w:tc>
          <w:tcPr>
            <w:tcW w:w="2500" w:type="pct"/>
          </w:tcPr>
          <w:p w:rsidR="00FC3114" w:rsidRPr="004774B1" w:rsidRDefault="00FC3114" w:rsidP="00A956E5">
            <w:pPr>
              <w:jc w:val="center"/>
              <w:rPr>
                <w:b/>
                <w:sz w:val="24"/>
                <w:szCs w:val="24"/>
              </w:rPr>
            </w:pPr>
            <w:r>
              <w:rPr>
                <w:b/>
                <w:sz w:val="24"/>
                <w:szCs w:val="24"/>
              </w:rPr>
              <w:t xml:space="preserve">Impact of Funding </w:t>
            </w:r>
          </w:p>
        </w:tc>
      </w:tr>
      <w:tr w:rsidR="00FC3114" w:rsidRPr="004774B1" w:rsidTr="00A956E5">
        <w:tc>
          <w:tcPr>
            <w:tcW w:w="2500" w:type="pct"/>
          </w:tcPr>
          <w:p w:rsidR="00FC3114" w:rsidRPr="004774B1" w:rsidRDefault="00FC3114" w:rsidP="00A956E5">
            <w:pPr>
              <w:tabs>
                <w:tab w:val="left" w:pos="954"/>
              </w:tabs>
              <w:rPr>
                <w:sz w:val="24"/>
                <w:szCs w:val="24"/>
              </w:rPr>
            </w:pPr>
          </w:p>
          <w:p w:rsidR="00FC3114" w:rsidRDefault="00FC3114" w:rsidP="00A956E5">
            <w:pPr>
              <w:tabs>
                <w:tab w:val="left" w:pos="954"/>
              </w:tabs>
              <w:rPr>
                <w:sz w:val="24"/>
                <w:szCs w:val="24"/>
              </w:rPr>
            </w:pPr>
            <w:r w:rsidRPr="004774B1">
              <w:rPr>
                <w:sz w:val="24"/>
                <w:szCs w:val="24"/>
              </w:rPr>
              <w:t>To deliver high quality Continuous Professional Development for teachers in PE</w:t>
            </w:r>
            <w:r>
              <w:rPr>
                <w:sz w:val="24"/>
                <w:szCs w:val="24"/>
              </w:rPr>
              <w:t xml:space="preserve"> continuing with gaps in teachers’ knowledge</w:t>
            </w:r>
            <w:r w:rsidRPr="004774B1">
              <w:rPr>
                <w:sz w:val="24"/>
                <w:szCs w:val="24"/>
              </w:rPr>
              <w:t xml:space="preserve">. </w:t>
            </w:r>
            <w:r>
              <w:rPr>
                <w:sz w:val="24"/>
                <w:szCs w:val="24"/>
              </w:rPr>
              <w:t>Use questionnaires to analyse gaps in knowledge.</w:t>
            </w:r>
          </w:p>
          <w:p w:rsidR="00FC3114" w:rsidRDefault="00FC3114" w:rsidP="00A956E5">
            <w:pPr>
              <w:tabs>
                <w:tab w:val="left" w:pos="954"/>
              </w:tabs>
              <w:rPr>
                <w:sz w:val="24"/>
                <w:szCs w:val="24"/>
              </w:rPr>
            </w:pPr>
            <w:r>
              <w:rPr>
                <w:sz w:val="24"/>
                <w:szCs w:val="24"/>
              </w:rPr>
              <w:t>Part of Induction for Newly Qualified Teacher.</w:t>
            </w:r>
          </w:p>
          <w:p w:rsidR="00FC3114" w:rsidRPr="004774B1" w:rsidRDefault="00FC3114" w:rsidP="00A956E5">
            <w:pPr>
              <w:tabs>
                <w:tab w:val="left" w:pos="954"/>
              </w:tabs>
              <w:rPr>
                <w:sz w:val="24"/>
                <w:szCs w:val="24"/>
              </w:rPr>
            </w:pPr>
          </w:p>
        </w:tc>
        <w:tc>
          <w:tcPr>
            <w:tcW w:w="2500" w:type="pct"/>
          </w:tcPr>
          <w:p w:rsidR="00FC3114" w:rsidRPr="004774B1" w:rsidRDefault="00FC3114" w:rsidP="00A956E5">
            <w:pPr>
              <w:rPr>
                <w:sz w:val="24"/>
                <w:szCs w:val="24"/>
              </w:rPr>
            </w:pPr>
          </w:p>
        </w:tc>
      </w:tr>
      <w:tr w:rsidR="00FC3114" w:rsidRPr="004774B1" w:rsidTr="00A956E5">
        <w:tc>
          <w:tcPr>
            <w:tcW w:w="2500" w:type="pct"/>
          </w:tcPr>
          <w:p w:rsidR="00FC3114" w:rsidRDefault="00FC3114" w:rsidP="00A956E5">
            <w:pPr>
              <w:rPr>
                <w:sz w:val="24"/>
                <w:szCs w:val="24"/>
              </w:rPr>
            </w:pPr>
            <w:r>
              <w:rPr>
                <w:sz w:val="24"/>
                <w:szCs w:val="24"/>
              </w:rPr>
              <w:t>To increase participation in inter school sports’ by entering local competitions.</w:t>
            </w:r>
          </w:p>
          <w:p w:rsidR="00FC3114" w:rsidRDefault="00FC3114" w:rsidP="00FC3114">
            <w:pPr>
              <w:pStyle w:val="ListParagraph"/>
              <w:numPr>
                <w:ilvl w:val="0"/>
                <w:numId w:val="1"/>
              </w:numPr>
              <w:spacing w:after="0" w:line="240" w:lineRule="auto"/>
              <w:rPr>
                <w:sz w:val="24"/>
                <w:szCs w:val="24"/>
              </w:rPr>
            </w:pPr>
            <w:r>
              <w:rPr>
                <w:sz w:val="24"/>
                <w:szCs w:val="24"/>
              </w:rPr>
              <w:t>WEB interschool tournaments</w:t>
            </w:r>
          </w:p>
          <w:p w:rsidR="00FC3114" w:rsidRDefault="00FC3114" w:rsidP="00FC3114">
            <w:pPr>
              <w:pStyle w:val="ListParagraph"/>
              <w:numPr>
                <w:ilvl w:val="0"/>
                <w:numId w:val="1"/>
              </w:numPr>
              <w:spacing w:after="0" w:line="240" w:lineRule="auto"/>
              <w:rPr>
                <w:sz w:val="24"/>
                <w:szCs w:val="24"/>
              </w:rPr>
            </w:pPr>
            <w:r>
              <w:rPr>
                <w:sz w:val="24"/>
                <w:szCs w:val="24"/>
              </w:rPr>
              <w:t>Worsley Sports’ Competition</w:t>
            </w:r>
          </w:p>
          <w:p w:rsidR="00FC3114" w:rsidRDefault="00FC3114" w:rsidP="00FC3114">
            <w:pPr>
              <w:pStyle w:val="ListParagraph"/>
              <w:numPr>
                <w:ilvl w:val="0"/>
                <w:numId w:val="1"/>
              </w:numPr>
              <w:spacing w:after="0" w:line="240" w:lineRule="auto"/>
              <w:rPr>
                <w:sz w:val="24"/>
                <w:szCs w:val="24"/>
              </w:rPr>
            </w:pPr>
            <w:r>
              <w:rPr>
                <w:sz w:val="24"/>
                <w:szCs w:val="24"/>
              </w:rPr>
              <w:t>Worsley Swimming Gala</w:t>
            </w:r>
          </w:p>
          <w:p w:rsidR="00FC3114" w:rsidRPr="0036530F" w:rsidRDefault="00FC3114" w:rsidP="00A956E5">
            <w:pPr>
              <w:pStyle w:val="ListParagraph"/>
              <w:spacing w:after="0" w:line="240" w:lineRule="auto"/>
              <w:rPr>
                <w:sz w:val="24"/>
                <w:szCs w:val="24"/>
              </w:rPr>
            </w:pPr>
          </w:p>
        </w:tc>
        <w:tc>
          <w:tcPr>
            <w:tcW w:w="2500" w:type="pct"/>
          </w:tcPr>
          <w:p w:rsidR="00FC3114" w:rsidRPr="004774B1" w:rsidRDefault="00FC3114" w:rsidP="00A956E5">
            <w:pPr>
              <w:rPr>
                <w:sz w:val="24"/>
                <w:szCs w:val="24"/>
              </w:rPr>
            </w:pPr>
          </w:p>
        </w:tc>
      </w:tr>
      <w:tr w:rsidR="00FC3114" w:rsidRPr="004774B1" w:rsidTr="00A956E5">
        <w:tc>
          <w:tcPr>
            <w:tcW w:w="2500" w:type="pct"/>
          </w:tcPr>
          <w:p w:rsidR="00FC3114" w:rsidRDefault="00FC3114" w:rsidP="00A956E5">
            <w:pPr>
              <w:rPr>
                <w:sz w:val="24"/>
                <w:szCs w:val="24"/>
              </w:rPr>
            </w:pPr>
            <w:r>
              <w:rPr>
                <w:sz w:val="24"/>
                <w:szCs w:val="24"/>
              </w:rPr>
              <w:t>Develop Use of/Train Playground Leaders to engage children in physical activities during playtimes/lunch time provision.</w:t>
            </w:r>
          </w:p>
          <w:p w:rsidR="00FC3114" w:rsidRDefault="00FC3114" w:rsidP="00A956E5">
            <w:pPr>
              <w:rPr>
                <w:sz w:val="24"/>
                <w:szCs w:val="24"/>
              </w:rPr>
            </w:pPr>
            <w:r>
              <w:rPr>
                <w:sz w:val="24"/>
                <w:szCs w:val="24"/>
              </w:rPr>
              <w:t xml:space="preserve">Continue to develop outdoor, adventurous provision for all year groups </w:t>
            </w:r>
            <w:proofErr w:type="spellStart"/>
            <w:r>
              <w:rPr>
                <w:sz w:val="24"/>
                <w:szCs w:val="24"/>
              </w:rPr>
              <w:t>eg</w:t>
            </w:r>
            <w:proofErr w:type="spellEnd"/>
            <w:r>
              <w:rPr>
                <w:sz w:val="24"/>
                <w:szCs w:val="24"/>
              </w:rPr>
              <w:t>; infant mini gym.</w:t>
            </w:r>
          </w:p>
          <w:p w:rsidR="00FC3114" w:rsidRDefault="00FC3114" w:rsidP="00A956E5">
            <w:pPr>
              <w:rPr>
                <w:sz w:val="24"/>
                <w:szCs w:val="24"/>
              </w:rPr>
            </w:pPr>
            <w:r>
              <w:rPr>
                <w:sz w:val="24"/>
                <w:szCs w:val="24"/>
              </w:rPr>
              <w:t xml:space="preserve">Purchase new playtime small equipment to develop skills </w:t>
            </w:r>
            <w:proofErr w:type="spellStart"/>
            <w:r>
              <w:rPr>
                <w:sz w:val="24"/>
                <w:szCs w:val="24"/>
              </w:rPr>
              <w:t>eg</w:t>
            </w:r>
            <w:proofErr w:type="spellEnd"/>
            <w:r>
              <w:rPr>
                <w:sz w:val="24"/>
                <w:szCs w:val="24"/>
              </w:rPr>
              <w:t>; bats, balls, hoops etc.</w:t>
            </w:r>
          </w:p>
          <w:p w:rsidR="00FC3114" w:rsidRPr="004774B1" w:rsidRDefault="00FC3114" w:rsidP="00A956E5">
            <w:pPr>
              <w:rPr>
                <w:sz w:val="24"/>
                <w:szCs w:val="24"/>
              </w:rPr>
            </w:pPr>
          </w:p>
        </w:tc>
        <w:tc>
          <w:tcPr>
            <w:tcW w:w="2500" w:type="pct"/>
          </w:tcPr>
          <w:p w:rsidR="00FC3114" w:rsidRPr="004774B1" w:rsidRDefault="00FC3114" w:rsidP="00A956E5">
            <w:pPr>
              <w:rPr>
                <w:sz w:val="24"/>
                <w:szCs w:val="24"/>
              </w:rPr>
            </w:pPr>
          </w:p>
        </w:tc>
      </w:tr>
      <w:tr w:rsidR="00FC3114" w:rsidRPr="004774B1" w:rsidTr="00A956E5">
        <w:tc>
          <w:tcPr>
            <w:tcW w:w="2500" w:type="pct"/>
          </w:tcPr>
          <w:p w:rsidR="00FC3114" w:rsidRDefault="00FC3114" w:rsidP="00A956E5">
            <w:pPr>
              <w:rPr>
                <w:sz w:val="24"/>
                <w:szCs w:val="24"/>
              </w:rPr>
            </w:pPr>
            <w:r>
              <w:rPr>
                <w:sz w:val="24"/>
                <w:szCs w:val="24"/>
              </w:rPr>
              <w:t>Target high attaining and low attaining children from last year’s assessments and provide them with opportunities to develop and extend their skills.</w:t>
            </w:r>
          </w:p>
          <w:p w:rsidR="00FC3114" w:rsidRDefault="00FC3114" w:rsidP="00A956E5">
            <w:pPr>
              <w:rPr>
                <w:sz w:val="24"/>
                <w:szCs w:val="24"/>
              </w:rPr>
            </w:pPr>
            <w:r>
              <w:rPr>
                <w:sz w:val="24"/>
                <w:szCs w:val="24"/>
              </w:rPr>
              <w:t>Sports’ Coach from Premier Sports.</w:t>
            </w:r>
          </w:p>
          <w:p w:rsidR="00FC3114" w:rsidRPr="004774B1" w:rsidRDefault="00FC3114" w:rsidP="00A956E5">
            <w:pPr>
              <w:rPr>
                <w:sz w:val="24"/>
                <w:szCs w:val="24"/>
              </w:rPr>
            </w:pPr>
          </w:p>
        </w:tc>
        <w:tc>
          <w:tcPr>
            <w:tcW w:w="2500" w:type="pct"/>
          </w:tcPr>
          <w:p w:rsidR="00FC3114" w:rsidRPr="004774B1" w:rsidRDefault="00FC3114" w:rsidP="00A956E5">
            <w:pPr>
              <w:rPr>
                <w:sz w:val="24"/>
                <w:szCs w:val="24"/>
              </w:rPr>
            </w:pPr>
          </w:p>
        </w:tc>
      </w:tr>
      <w:tr w:rsidR="00FC3114" w:rsidRPr="004774B1" w:rsidTr="00A956E5">
        <w:tc>
          <w:tcPr>
            <w:tcW w:w="2500" w:type="pct"/>
          </w:tcPr>
          <w:p w:rsidR="00FC3114" w:rsidRDefault="00FC3114" w:rsidP="00A956E5">
            <w:pPr>
              <w:rPr>
                <w:sz w:val="24"/>
                <w:szCs w:val="24"/>
              </w:rPr>
            </w:pPr>
            <w:r>
              <w:rPr>
                <w:sz w:val="24"/>
                <w:szCs w:val="24"/>
              </w:rPr>
              <w:lastRenderedPageBreak/>
              <w:t xml:space="preserve">Increase the number of outside agencies working in school </w:t>
            </w:r>
            <w:proofErr w:type="spellStart"/>
            <w:r>
              <w:rPr>
                <w:sz w:val="24"/>
                <w:szCs w:val="24"/>
              </w:rPr>
              <w:t>eg</w:t>
            </w:r>
            <w:proofErr w:type="spellEnd"/>
            <w:r>
              <w:rPr>
                <w:sz w:val="24"/>
                <w:szCs w:val="24"/>
              </w:rPr>
              <w:t>; FA to work with specific groups.</w:t>
            </w:r>
          </w:p>
          <w:p w:rsidR="00FC3114" w:rsidRDefault="00FC3114" w:rsidP="00A956E5">
            <w:pPr>
              <w:rPr>
                <w:sz w:val="24"/>
                <w:szCs w:val="24"/>
              </w:rPr>
            </w:pPr>
          </w:p>
        </w:tc>
        <w:tc>
          <w:tcPr>
            <w:tcW w:w="2500" w:type="pct"/>
          </w:tcPr>
          <w:p w:rsidR="00FC3114" w:rsidRDefault="00FC3114" w:rsidP="00A956E5">
            <w:pPr>
              <w:rPr>
                <w:sz w:val="24"/>
                <w:szCs w:val="24"/>
              </w:rPr>
            </w:pPr>
          </w:p>
        </w:tc>
      </w:tr>
    </w:tbl>
    <w:p w:rsidR="00FC3114" w:rsidRDefault="00FC3114" w:rsidP="00FC3114">
      <w:pPr>
        <w:rPr>
          <w:sz w:val="24"/>
          <w:szCs w:val="24"/>
        </w:rPr>
      </w:pPr>
    </w:p>
    <w:p w:rsidR="00FC3114" w:rsidRPr="004774B1" w:rsidRDefault="00FC3114" w:rsidP="00FC3114">
      <w:pPr>
        <w:rPr>
          <w:sz w:val="24"/>
          <w:szCs w:val="24"/>
        </w:rPr>
      </w:pPr>
      <w:r w:rsidRPr="004774B1">
        <w:rPr>
          <w:sz w:val="24"/>
          <w:szCs w:val="24"/>
        </w:rPr>
        <w:t>This is just the beginning of the investment we are making into school sport. O</w:t>
      </w:r>
      <w:r>
        <w:rPr>
          <w:sz w:val="24"/>
          <w:szCs w:val="24"/>
        </w:rPr>
        <w:t>ver the next five</w:t>
      </w:r>
      <w:r w:rsidRPr="004774B1">
        <w:rPr>
          <w:sz w:val="24"/>
          <w:szCs w:val="24"/>
        </w:rPr>
        <w:t xml:space="preserve"> years we will </w:t>
      </w:r>
      <w:r>
        <w:rPr>
          <w:sz w:val="24"/>
          <w:szCs w:val="24"/>
        </w:rPr>
        <w:t>continue to invest</w:t>
      </w:r>
      <w:r w:rsidRPr="004774B1">
        <w:rPr>
          <w:sz w:val="24"/>
          <w:szCs w:val="24"/>
        </w:rPr>
        <w:t xml:space="preserve"> the </w:t>
      </w:r>
      <w:r>
        <w:rPr>
          <w:sz w:val="24"/>
          <w:szCs w:val="24"/>
        </w:rPr>
        <w:t xml:space="preserve">school </w:t>
      </w:r>
      <w:r w:rsidRPr="004774B1">
        <w:rPr>
          <w:sz w:val="24"/>
          <w:szCs w:val="24"/>
        </w:rPr>
        <w:t xml:space="preserve">sports premium into high quality teaching and resources for PE across the school and into the school grounds. At St. Andrew’s our aim for this funding is that there is a legacy after the funding stops. It is imperative that it is used in a way that demonstrates long term impact. We are hoping that effective professional development in physical education will fulfil this aim. </w:t>
      </w:r>
    </w:p>
    <w:p w:rsidR="00690B92" w:rsidRDefault="00690B92"/>
    <w:sectPr w:rsidR="00690B92" w:rsidSect="00940A8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479FB"/>
    <w:multiLevelType w:val="hybridMultilevel"/>
    <w:tmpl w:val="B58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14"/>
    <w:rsid w:val="00170BB9"/>
    <w:rsid w:val="00662957"/>
    <w:rsid w:val="00690B92"/>
    <w:rsid w:val="009811F7"/>
    <w:rsid w:val="00D72487"/>
    <w:rsid w:val="00FC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A353-1641-444A-B887-EE7BA099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87"/>
    <w:pPr>
      <w:ind w:left="720"/>
      <w:contextualSpacing/>
    </w:pPr>
  </w:style>
  <w:style w:type="table" w:styleId="TableGrid">
    <w:name w:val="Table Grid"/>
    <w:basedOn w:val="TableNormal"/>
    <w:uiPriority w:val="59"/>
    <w:rsid w:val="00FC31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C31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584CBD66</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Shepley</dc:creator>
  <cp:keywords/>
  <dc:description/>
  <cp:lastModifiedBy>Mrs J. Shepley</cp:lastModifiedBy>
  <cp:revision>2</cp:revision>
  <dcterms:created xsi:type="dcterms:W3CDTF">2017-09-08T06:56:00Z</dcterms:created>
  <dcterms:modified xsi:type="dcterms:W3CDTF">2017-09-08T06:56:00Z</dcterms:modified>
</cp:coreProperties>
</file>